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PT-GEST-21</w:t>
      </w:r>
    </w:p>
    <w:p>
      <w:pPr>
        <w:spacing w:after="60"/>
      </w:pPr>
      <w:r>
        <w:rPr>
          <w:rFonts w:ascii="Arial" w:cs="Arial" w:eastAsia="Arial" w:hAnsi="Arial"/>
          <w:b/>
          <w:bCs/>
          <w:color w:val="1F2D3D"/>
          <w:sz w:val="52"/>
          <w:szCs w:val="52"/>
        </w:rPr>
        <w:t xml:space="preserve">Informe sin salvedades</w:t>
      </w:r>
    </w:p>
    <w:p>
      <w:pPr>
        <w:spacing w:after="160"/>
      </w:pPr>
      <w:r>
        <w:rPr>
          <w:rFonts w:ascii="Arial" w:cs="Arial" w:eastAsia="Arial" w:hAnsi="Arial"/>
          <w:color w:val="2872FA"/>
          <w:sz w:val="24"/>
          <w:szCs w:val="24"/>
        </w:rPr>
        <w:t xml:space="preserve">Modelo de informe con conclusión no modificada (ISAE 3000, párr. 69 y 72)</w:t>
      </w:r>
    </w:p>
    <w:p>
      <w:pPr>
        <w:spacing w:after="140" w:line="264"/>
        <w:jc w:val="both"/>
      </w:pPr>
      <w:r>
        <w:rPr>
          <w:rFonts w:ascii="Arial" w:cs="Arial" w:eastAsia="Arial" w:hAnsi="Arial"/>
          <w:color w:val="8A6A00"/>
          <w:shd w:fill="FFF4CC" w:color="auto" w:val="clear"/>
        </w:rPr>
        <w:t xml:space="preserve">[Reemplace lo que está entre corchetes y borre las instrucciones. Se firma y se fecha cuando hay evidencia suficiente y está la carta de manifestaciones (PT-GEST-17). El tipo de conclusión sale del PT-GEST-19. Persona natural: primera persona del singular. Persona jurídica: primera persona del plural y firma del contador público designado.]</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No hay hallazgos materiales ni significativos sin corregir.</w:t>
      </w:r>
    </w:p>
    <w:p>
      <w:pPr>
        <w:pStyle w:val="ListParagraph"/>
        <w:numPr>
          <w:ilvl w:val="0"/>
          <w:numId w:val="2"/>
        </w:numPr>
        <w:spacing w:after="60" w:line="260"/>
        <w:jc w:val="both"/>
      </w:pPr>
      <w:r>
        <w:rPr>
          <w:rFonts w:ascii="Arial" w:cs="Arial" w:eastAsia="Arial" w:hAnsi="Arial"/>
        </w:rPr>
        <w:t xml:space="preserve">No hubo limitaciones al alcance.</w:t>
      </w:r>
    </w:p>
    <w:p>
      <w:pPr>
        <w:pStyle w:val="ListParagraph"/>
        <w:numPr>
          <w:ilvl w:val="0"/>
          <w:numId w:val="2"/>
        </w:numPr>
        <w:spacing w:after="140" w:line="260"/>
        <w:jc w:val="both"/>
      </w:pPr>
      <w:r>
        <w:rPr>
          <w:rFonts w:ascii="Arial" w:cs="Arial" w:eastAsia="Arial" w:hAnsi="Arial"/>
        </w:rPr>
        <w:t xml:space="preserve">Las observaciones menores se comunicaron en el PT-GEST-16.</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LA GESTIÓN</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contratado por acuerdo con la Entidad y no como función legal de la revisoría fiscal, para dar mi (nuestro) concepto sobre la gestión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en cuanto a la economía, la eficiencia y la eficacia en el uso de sus recursos y en el logro de sus objetivos, y la concordancia de su informe de gestión con los estados financieros, con base en los objetivos, indicadores y metas de gestión acordados con la administración y descritos en </w:t>
      </w:r>
      <w:r>
        <w:rPr>
          <w:rFonts w:ascii="Arial" w:cs="Arial" w:eastAsia="Arial" w:hAnsi="Arial"/>
          <w:color w:val="8A6A00"/>
          <w:shd w:fill="FFF4CC" w:color="auto" w:val="clear"/>
        </w:rPr>
        <w:t xml:space="preserve">[nota o anexo]</w:t>
      </w:r>
      <w:r>
        <w:rPr>
          <w:rFonts w:ascii="Arial" w:cs="Arial" w:eastAsia="Arial" w:hAnsi="Arial"/>
        </w:rPr>
        <w:t xml:space="preserve">, y los requisitos de contenido del informe de gestión </w:t>
      </w:r>
      <w:r>
        <w:rPr>
          <w:rFonts w:ascii="Arial" w:cs="Arial" w:eastAsia="Arial" w:hAnsi="Arial"/>
          <w:color w:val="8A6A00"/>
          <w:shd w:fill="FFF4CC" w:color="auto" w:val="clear"/>
        </w:rPr>
        <w:t xml:space="preserve">[Ley 222 de 1995, arts. 46 y 47; verificar vigencia]</w:t>
      </w:r>
      <w:r>
        <w:rPr>
          <w:rFonts w:ascii="Arial" w:cs="Arial" w:eastAsia="Arial" w:hAnsi="Arial"/>
        </w:rPr>
        <w:t xml:space="preserve">.</w:t>
      </w:r>
    </w:p>
    <w:p>
      <w:pPr>
        <w:keepNext/>
        <w:spacing w:after="60" w:line="264"/>
        <w:jc w:val="both"/>
      </w:pPr>
      <w:r>
        <w:rPr>
          <w:rFonts w:ascii="Arial" w:cs="Arial" w:eastAsia="Arial" w:hAnsi="Arial"/>
          <w:b/>
          <w:bCs/>
        </w:rPr>
        <w:t xml:space="preserve">Conclusión</w:t>
      </w:r>
    </w:p>
    <w:p>
      <w:pPr>
        <w:spacing w:after="100" w:line="264"/>
        <w:jc w:val="both"/>
      </w:pPr>
      <w:r>
        <w:rPr>
          <w:rFonts w:ascii="Arial" w:cs="Arial" w:eastAsia="Arial" w:hAnsi="Arial"/>
        </w:rPr>
        <w:t xml:space="preserve">En mi (nuestra) opinión, en todos los aspectos materiales, la gestión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en cuanto a la economía, la eficiencia y la eficacia en el uso de sus recursos y en el logro de sus objetivos, y la concordancia de su informe de gestión con los estados financieros fue económica, eficiente y eficaz y concuerda, respectivamente, con los objetivos, indicadores y metas de gestión acordados con la administración y descritos en </w:t>
      </w:r>
      <w:r>
        <w:rPr>
          <w:rFonts w:ascii="Arial" w:cs="Arial" w:eastAsia="Arial" w:hAnsi="Arial"/>
          <w:color w:val="8A6A00"/>
          <w:shd w:fill="FFF4CC" w:color="auto" w:val="clear"/>
        </w:rPr>
        <w:t xml:space="preserve">[nota o anexo]</w:t>
      </w:r>
      <w:r>
        <w:rPr>
          <w:rFonts w:ascii="Arial" w:cs="Arial" w:eastAsia="Arial" w:hAnsi="Arial"/>
        </w:rPr>
        <w:t xml:space="preserve">, y los requisitos de contenido del informe de gestión </w:t>
      </w:r>
      <w:r>
        <w:rPr>
          <w:rFonts w:ascii="Arial" w:cs="Arial" w:eastAsia="Arial" w:hAnsi="Arial"/>
          <w:color w:val="8A6A00"/>
          <w:shd w:fill="FFF4CC" w:color="auto" w:val="clear"/>
        </w:rPr>
        <w:t xml:space="preserve">[Ley 222 de 1995, arts. 46 y 47; verificar vigencia]</w:t>
      </w:r>
      <w:r>
        <w:rPr>
          <w:rFonts w:ascii="Arial" w:cs="Arial" w:eastAsia="Arial" w:hAnsi="Arial"/>
        </w:rPr>
        <w:t xml:space="preserve">.</w:t>
      </w:r>
    </w:p>
    <w:p>
      <w:pPr>
        <w:keepNext/>
        <w:spacing w:after="60" w:line="264"/>
        <w:jc w:val="both"/>
      </w:pPr>
      <w:r>
        <w:rPr>
          <w:rFonts w:ascii="Arial" w:cs="Arial" w:eastAsia="Arial" w:hAnsi="Arial"/>
          <w:b/>
          <w:bCs/>
        </w:rPr>
        <w:t xml:space="preserve">Fundamento de la conclusión</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la gestión de la Entidad, de acordar criterios adecuados, de llevar los registros que permiten medirlos y de preparar el informe de gestión.</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El encargo incluye entender la entidad y su forma de medir la gestión, valorar riesgos, recalcular indicadores, probar economía, eficiencia y eficacia, y comparar el informe de gestión con los estados financieros, mediante los procedimientos que consideré (consideramos) necesarios.</w:t>
      </w:r>
    </w:p>
    <w:p>
      <w:pPr>
        <w:keepNext/>
        <w:spacing w:after="60" w:line="264"/>
        <w:jc w:val="both"/>
      </w:pPr>
      <w:r>
        <w:rPr>
          <w:rFonts w:ascii="Arial" w:cs="Arial" w:eastAsia="Arial" w:hAnsi="Arial"/>
          <w:b/>
          <w:bCs/>
        </w:rPr>
        <w:t xml:space="preserve">Limitaciones inherentes y uso del informe</w:t>
      </w:r>
    </w:p>
    <w:p>
      <w:pPr>
        <w:spacing w:after="100" w:line="264"/>
        <w:jc w:val="both"/>
      </w:pPr>
      <w:r>
        <w:rPr>
          <w:rFonts w:ascii="Arial" w:cs="Arial" w:eastAsia="Arial" w:hAnsi="Arial"/>
        </w:rPr>
        <w:t xml:space="preserve">La evaluación se hizo con criterios acordados con la administración, que no están en una norma legal, y con información de la propia Entidad, por muestras. Los resultados dependen de la calidad de los registros y de las metas fijadas. Este informe es para la asamblea o junta de socios y los usuarios previstos en la carta de encargo, y no debe usarse con otro fin.</w:t>
      </w:r>
    </w:p>
    <w:p>
      <w:pPr>
        <w:keepNext/>
        <w:spacing w:after="60" w:line="264"/>
        <w:jc w:val="both"/>
      </w:pPr>
      <w:r>
        <w:rPr>
          <w:rFonts w:ascii="Arial" w:cs="Arial" w:eastAsia="Arial" w:hAnsi="Arial"/>
          <w:b/>
          <w:bCs/>
        </w:rPr>
        <w:t xml:space="preserve">Párrafo de énfasis [opcional; si no hay, elimínelo]</w:t>
      </w:r>
    </w:p>
    <w:p>
      <w:pPr>
        <w:spacing w:after="100" w:line="264"/>
        <w:jc w:val="both"/>
      </w:pPr>
      <w:r>
        <w:rPr>
          <w:rFonts w:ascii="Arial" w:cs="Arial" w:eastAsia="Arial" w:hAnsi="Arial"/>
          <w:color w:val="8A6A00"/>
          <w:shd w:fill="FFF4CC" w:color="auto" w:val="clear"/>
        </w:rPr>
        <w:t xml:space="preserve">[Llame la atención sobre un asunto ya revelado y fundamental para el usuario. No modifica la conclusión (párr. 73).]</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PT-GEST-21  ·  Informe sin salvedades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sin salvedades — PT-GEST-21</dc:title>
  <dc:creator>Assuran</dc:creator>
  <dc:description>Modelo de informe de aseguramiento razonable sobre gestión, con conclusión no modificada (ISAE 3000, párr. 69 y 72)</dc:description>
  <cp:lastModifiedBy>Un-named</cp:lastModifiedBy>
  <cp:revision>1</cp:revision>
  <dcterms:created xsi:type="dcterms:W3CDTF">2026-11-03T04:01:14.189Z</dcterms:created>
  <dcterms:modified xsi:type="dcterms:W3CDTF">2026-11-03T04:01:14.189Z</dcterms:modified>
</cp:coreProperties>
</file>

<file path=docProps/custom.xml><?xml version="1.0" encoding="utf-8"?>
<Properties xmlns="http://schemas.openxmlformats.org/officeDocument/2006/custom-properties" xmlns:vt="http://schemas.openxmlformats.org/officeDocument/2006/docPropsVTypes"/>
</file>