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PT-GEST-20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Guía del informe de aseguramiento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Cómo se redacta el informe y cuál de los cuatro modelos usar (ISAE 3000, párr. 67 a 71 y 72 a 77)</w:t>
      </w:r>
    </w:p>
    <w:p>
      <w:pPr>
        <w:pStyle w:val="Heading1"/>
        <w:keepNext/>
      </w:pPr>
      <w:r>
        <w:rPr>
          <w:rFonts w:ascii="Arial" w:cs="Arial" w:eastAsia="Arial" w:hAnsi="Arial"/>
        </w:rPr>
        <w:t xml:space="preserve">1. Qué es el informe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El informe es la forma en que el revisor fiscal expresa su conclusión sobre si la gestión fue económica, eficiente y eficaz con respecto a criterios acordados, y sobre si el informe de gestión concuerda con los estados financieros. Como el encargo es voluntario, el informe debe decir que los criterios fueron acordados con la administración y que su uso está limitado a los usuarios previstos.</w:t>
      </w:r>
    </w:p>
    <w:p>
      <w:pPr>
        <w:pStyle w:val="Heading1"/>
        <w:keepNext/>
      </w:pPr>
      <w:r>
        <w:rPr>
          <w:rFonts w:ascii="Arial" w:cs="Arial" w:eastAsia="Arial" w:hAnsi="Arial"/>
        </w:rPr>
        <w:t xml:space="preserve">2. Contenido mínimo (párr. 69)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Título</w:t>
      </w:r>
      <w:r>
        <w:rPr>
          <w:rFonts w:ascii="Arial" w:cs="Arial" w:eastAsia="Arial" w:hAnsi="Arial"/>
        </w:rPr>
        <w:t xml:space="preserve"> que diga que es un informe de aseguramiento independiente.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Destinatario</w:t>
      </w:r>
      <w:r>
        <w:rPr>
          <w:rFonts w:ascii="Arial" w:cs="Arial" w:eastAsia="Arial" w:hAnsi="Arial"/>
        </w:rPr>
        <w:t xml:space="preserve">: la asamblea o junta de socios, y quienes la carta de encargo indique.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Descripción de la materia</w:t>
      </w:r>
      <w:r>
        <w:rPr>
          <w:rFonts w:ascii="Arial" w:cs="Arial" w:eastAsia="Arial" w:hAnsi="Arial"/>
        </w:rPr>
        <w:t xml:space="preserve">: la gestión de la entidad y su informe de gestión, y el periodo.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Criterios</w:t>
      </w:r>
      <w:r>
        <w:rPr>
          <w:rFonts w:ascii="Arial" w:cs="Arial" w:eastAsia="Arial" w:hAnsi="Arial"/>
        </w:rPr>
        <w:t xml:space="preserve">: los objetivos, indicadores y metas acordados, y dónde se pueden consultar.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Nivel de seguridad</w:t>
      </w:r>
      <w:r>
        <w:rPr>
          <w:rFonts w:ascii="Arial" w:cs="Arial" w:eastAsia="Arial" w:hAnsi="Arial"/>
        </w:rPr>
        <w:t xml:space="preserve">: razonable.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Limitaciones inherentes</w:t>
      </w:r>
      <w:r>
        <w:rPr>
          <w:rFonts w:ascii="Arial" w:cs="Arial" w:eastAsia="Arial" w:hAnsi="Arial"/>
        </w:rPr>
        <w:t xml:space="preserve">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Responsabilidades</w:t>
      </w:r>
      <w:r>
        <w:rPr>
          <w:rFonts w:ascii="Arial" w:cs="Arial" w:eastAsia="Arial" w:hAnsi="Arial"/>
        </w:rPr>
        <w:t xml:space="preserve"> de la administración y del revisor fiscal.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Cumplimiento</w:t>
      </w:r>
      <w:r>
        <w:rPr>
          <w:rFonts w:ascii="Arial" w:cs="Arial" w:eastAsia="Arial" w:hAnsi="Arial"/>
        </w:rPr>
        <w:t xml:space="preserve"> de la ISAE 3000 y de la NICC 1, e independencia y ética.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Resumen del trabajo</w:t>
      </w:r>
      <w:r>
        <w:rPr>
          <w:rFonts w:ascii="Arial" w:cs="Arial" w:eastAsia="Arial" w:hAnsi="Arial"/>
        </w:rPr>
        <w:t xml:space="preserve"> hecho.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Conclusión</w:t>
      </w:r>
      <w:r>
        <w:rPr>
          <w:rFonts w:ascii="Arial" w:cs="Arial" w:eastAsia="Arial" w:hAnsi="Arial"/>
        </w:rPr>
        <w:t xml:space="preserve">, clara y separada de otras explicaciones.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Fundamento de la conclusión</w:t>
      </w:r>
      <w:r>
        <w:rPr>
          <w:rFonts w:ascii="Arial" w:cs="Arial" w:eastAsia="Arial" w:hAnsi="Arial"/>
        </w:rPr>
        <w:t xml:space="preserve">, cuando es modificada.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Uso restringido</w:t>
      </w:r>
      <w:r>
        <w:rPr>
          <w:rFonts w:ascii="Arial" w:cs="Arial" w:eastAsia="Arial" w:hAnsi="Arial"/>
        </w:rPr>
        <w:t xml:space="preserve"> del informe: criterios acordados con la administración.</w:t>
      </w:r>
    </w:p>
    <w:p>
      <w:pPr>
        <w:pStyle w:val="ListParagraph"/>
        <w:numPr>
          <w:ilvl w:val="0"/>
          <w:numId w:val="2"/>
        </w:numPr>
        <w:spacing w:after="140" w:line="260"/>
        <w:jc w:val="both"/>
      </w:pPr>
      <w:r>
        <w:rPr>
          <w:rFonts w:ascii="Arial" w:cs="Arial" w:eastAsia="Arial" w:hAnsi="Arial"/>
          <w:b/>
          <w:bCs/>
        </w:rPr>
        <w:t xml:space="preserve">Firma, tarjeta profesional, fecha y lugar.</w:t>
      </w:r>
      <w:r>
        <w:rPr>
          <w:rFonts w:ascii="Arial" w:cs="Arial" w:eastAsia="Arial" w:hAnsi="Arial"/>
        </w:rPr>
        <w:t xml:space="preserve"> La fecha no puede ser anterior a la de la evidencia ni a las manifestaciones (PT-GEST-17).</w:t>
      </w:r>
    </w:p>
    <w:p>
      <w:pPr>
        <w:pStyle w:val="Heading1"/>
        <w:keepNext/>
      </w:pPr>
      <w:r>
        <w:rPr>
          <w:rFonts w:ascii="Arial" w:cs="Arial" w:eastAsia="Arial" w:hAnsi="Arial"/>
        </w:rPr>
        <w:t xml:space="preserve">3. Qué modelo usar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rPr>
          <w:cantSplit/>
          <w:tblHeader/>
        </w:trPr>
        <w:tc>
          <w:tcPr>
            <w:tcW w:type="dxa" w:w="3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Si la conclusión es</w:t>
            </w:r>
          </w:p>
        </w:tc>
        <w:tc>
          <w:tcPr>
            <w:tcW w:type="dxa" w:w="6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Modelo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Sin salvedades</w:t>
            </w:r>
          </w:p>
        </w:tc>
        <w:tc>
          <w:tcPr>
            <w:tcW w:type="dxa" w:w="6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PT-GEST-21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Con salvedades (hallazgo o limitación aislada)</w:t>
            </w:r>
          </w:p>
        </w:tc>
        <w:tc>
          <w:tcPr>
            <w:tcW w:type="dxa" w:w="6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PT-GEST-22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Adversa (la gestión no fue económica, eficiente o eficaz)</w:t>
            </w:r>
          </w:p>
        </w:tc>
        <w:tc>
          <w:tcPr>
            <w:tcW w:type="dxa" w:w="6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PT-GEST-23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Denegación (no se pudo obtener evidencia)</w:t>
            </w:r>
          </w:p>
        </w:tc>
        <w:tc>
          <w:tcPr>
            <w:tcW w:type="dxa" w:w="6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PT-GEST-24</w:t>
            </w:r>
          </w:p>
        </w:tc>
      </w:tr>
    </w:tbl>
    <w:p>
      <w:pPr>
        <w:pStyle w:val="Heading1"/>
        <w:keepNext/>
      </w:pPr>
      <w:r>
        <w:rPr>
          <w:rFonts w:ascii="Arial" w:cs="Arial" w:eastAsia="Arial" w:hAnsi="Arial"/>
        </w:rPr>
        <w:t xml:space="preserve">4. Reglas de redacción</w:t>
      </w:r>
    </w:p>
    <w:p>
      <w:pPr>
        <w:pStyle w:val="ListParagraph"/>
        <w:numPr>
          <w:ilvl w:val="0"/>
          <w:numId w:val="3"/>
        </w:numPr>
        <w:spacing w:after="60" w:line="260"/>
        <w:jc w:val="both"/>
      </w:pPr>
      <w:r>
        <w:rPr>
          <w:rFonts w:ascii="Arial" w:cs="Arial" w:eastAsia="Arial" w:hAnsi="Arial"/>
        </w:rPr>
        <w:t xml:space="preserve">Use el lenguaje de los criterios: “la gestión fue económica, eficiente y eficaz con respecto a los criterios descritos en el anexo”.</w:t>
      </w:r>
    </w:p>
    <w:p>
      <w:pPr>
        <w:pStyle w:val="ListParagraph"/>
        <w:numPr>
          <w:ilvl w:val="0"/>
          <w:numId w:val="3"/>
        </w:numPr>
        <w:spacing w:after="60" w:line="260"/>
        <w:jc w:val="both"/>
      </w:pPr>
      <w:r>
        <w:rPr>
          <w:rFonts w:ascii="Arial" w:cs="Arial" w:eastAsia="Arial" w:hAnsi="Arial"/>
        </w:rPr>
        <w:t xml:space="preserve">Diga siempre “seguridad razonable”.</w:t>
      </w:r>
    </w:p>
    <w:p>
      <w:pPr>
        <w:pStyle w:val="ListParagraph"/>
        <w:numPr>
          <w:ilvl w:val="0"/>
          <w:numId w:val="3"/>
        </w:numPr>
        <w:spacing w:after="60" w:line="260"/>
        <w:jc w:val="both"/>
      </w:pPr>
      <w:r>
        <w:rPr>
          <w:rFonts w:ascii="Arial" w:cs="Arial" w:eastAsia="Arial" w:hAnsi="Arial"/>
        </w:rPr>
        <w:t xml:space="preserve">No evalúe la conveniencia de los objetivos que fijó la administración: evalúe si se lograron y cómo se usaron los recursos.</w:t>
      </w:r>
    </w:p>
    <w:p>
      <w:pPr>
        <w:pStyle w:val="ListParagraph"/>
        <w:numPr>
          <w:ilvl w:val="0"/>
          <w:numId w:val="3"/>
        </w:numPr>
        <w:spacing w:after="60" w:line="260"/>
        <w:jc w:val="both"/>
      </w:pPr>
      <w:r>
        <w:rPr>
          <w:rFonts w:ascii="Arial" w:cs="Arial" w:eastAsia="Arial" w:hAnsi="Arial"/>
        </w:rPr>
        <w:t xml:space="preserve">En una conclusión modificada, describa el hallazgo o la limitación, su efecto y la dimensión afectada. Los detalles menores van en el PT-GEST-16.</w:t>
      </w:r>
    </w:p>
    <w:p>
      <w:pPr>
        <w:pStyle w:val="ListParagraph"/>
        <w:numPr>
          <w:ilvl w:val="0"/>
          <w:numId w:val="3"/>
        </w:numPr>
        <w:spacing w:after="60" w:line="260"/>
        <w:jc w:val="both"/>
      </w:pPr>
      <w:r>
        <w:rPr>
          <w:rFonts w:ascii="Arial" w:cs="Arial" w:eastAsia="Arial" w:hAnsi="Arial"/>
        </w:rPr>
        <w:t xml:space="preserve">Un párrafo de énfasis o de otras cuestiones no modifica la conclusión (párr. 73).</w:t>
      </w:r>
    </w:p>
    <w:p>
      <w:pPr>
        <w:pStyle w:val="ListParagraph"/>
        <w:numPr>
          <w:ilvl w:val="0"/>
          <w:numId w:val="3"/>
        </w:numPr>
        <w:spacing w:after="60" w:line="260"/>
        <w:jc w:val="both"/>
      </w:pPr>
      <w:r>
        <w:rPr>
          <w:rFonts w:ascii="Arial" w:cs="Arial" w:eastAsia="Arial" w:hAnsi="Arial"/>
        </w:rPr>
        <w:t xml:space="preserve">Si hay hallazgos y limitaciones a la vez, diga ambos (párr. 76).</w:t>
      </w:r>
    </w:p>
    <w:p>
      <w:pPr>
        <w:pStyle w:val="ListParagraph"/>
        <w:numPr>
          <w:ilvl w:val="0"/>
          <w:numId w:val="3"/>
        </w:numPr>
        <w:spacing w:after="140" w:line="260"/>
        <w:jc w:val="both"/>
      </w:pPr>
      <w:r>
        <w:rPr>
          <w:rFonts w:ascii="Arial" w:cs="Arial" w:eastAsia="Arial" w:hAnsi="Arial"/>
        </w:rPr>
        <w:t xml:space="preserve">Si una parte del informe es la concordancia del informe de gestión, indíquela por separado.</w:t>
      </w:r>
    </w:p>
    <w:p>
      <w:pPr>
        <w:pStyle w:val="Heading1"/>
        <w:keepNext/>
      </w:pPr>
      <w:r>
        <w:rPr>
          <w:rFonts w:ascii="Arial" w:cs="Arial" w:eastAsia="Arial" w:hAnsi="Arial"/>
        </w:rPr>
        <w:t xml:space="preserve">5. Cómo se integra con los demás informes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Si presenta un solo informe del revisor fiscal, use el modelo del PT-GEST-25, que reúne la opinión sobre estados financieros, las conclusiones sobre control interno, cumplimiento y gestión, cada una con su fundamento.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PT-GEST-20  ·  Guía del informe de aseguramiento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del informe de aseguramiento — PT-GEST-20</dc:title>
  <dc:creator>Assuran</dc:creator>
  <dc:description>Contenido mínimo y reglas de redacción del informe sobre gestión (ISAE 3000, párr. 67 a 71)</dc:description>
  <cp:lastModifiedBy>Un-named</cp:lastModifiedBy>
  <cp:revision>1</cp:revision>
  <dcterms:created xsi:type="dcterms:W3CDTF">2026-11-03T04:01:13.936Z</dcterms:created>
  <dcterms:modified xsi:type="dcterms:W3CDTF">2026-11-03T04:01:13.936Z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