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Carta de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Términos del encargo de aseguramiento sobre la gestión (párrafos 27 a 30 de la ISAE 3000)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[Como el encargo es voluntario, esta carta es obligatoria en la práctica: sin ella no hay acuerdo sobre los criterios. Persona natural: use “yo”. Complete los campos y elimine las instrucciones.]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[Asamblea general o Junta de socios]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 la entidad]</w:t>
      </w:r>
      <w:r>
        <w:rPr>
          <w:rFonts w:ascii="Arial" w:cs="Arial" w:eastAsia="Arial" w:hAnsi="Arial"/>
        </w:rPr>
        <w:t xml:space="preserve">, NIT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[NIT]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 encargo de aseguramiento sobre la gestión, periodo [periodo].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carta confirma los términos del encargo, que se realiza por acuerdo con la entidad y no como función legal de la revisoría fiscal.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Objetivo y alcance.</w:t>
      </w:r>
      <w:r>
        <w:rPr>
          <w:rFonts w:ascii="Arial" w:cs="Arial" w:eastAsia="Arial" w:hAnsi="Arial"/>
        </w:rPr>
        <w:t xml:space="preserve"> Obtener seguridad razonable y emitir una conclusión sobre si, en todos los aspectos materiales, la gestión de la entidad en el periodo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[periodo]</w:t>
      </w:r>
      <w:r>
        <w:rPr>
          <w:rFonts w:ascii="Arial" w:cs="Arial" w:eastAsia="Arial" w:hAnsi="Arial"/>
        </w:rPr>
        <w:t xml:space="preserve"> fue económica, eficiente y eficaz con respecto a los criterios acordados, y sobre si el informe de gestión de los administradores es concordante con los estados financieros.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Norma aplicable.</w:t>
      </w:r>
      <w:r>
        <w:rPr>
          <w:rFonts w:ascii="Arial" w:cs="Arial" w:eastAsia="Arial" w:hAnsi="Arial"/>
        </w:rPr>
        <w:t xml:space="preserve"> Norma Internacional de Encargos de Aseguramiento 3000 (ISAE 3000) y NICC 1, aceptadas por el Decreto 302 de 2015. Cumplimos el Código de Ética para Profesionales de la Contaduría.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Criterios.</w:t>
      </w:r>
      <w:r>
        <w:rPr>
          <w:rFonts w:ascii="Arial" w:cs="Arial" w:eastAsia="Arial" w:hAnsi="Arial"/>
        </w:rPr>
        <w:t xml:space="preserve"> Los objetivos, indicadores y metas que se describen en el anexo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[PT-GEST-03]</w:t>
      </w:r>
      <w:r>
        <w:rPr>
          <w:rFonts w:ascii="Arial" w:cs="Arial" w:eastAsia="Arial" w:hAnsi="Arial"/>
        </w:rPr>
        <w:t xml:space="preserve">, acordados con la administración. Reconocemos que no están en una norma legal.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administración.</w:t>
      </w:r>
      <w:r>
        <w:rPr>
          <w:rFonts w:ascii="Arial" w:cs="Arial" w:eastAsia="Arial" w:hAnsi="Arial"/>
        </w:rPr>
        <w:t xml:space="preserve"> Definir los criterios con nosotros, gestionar la entidad, preparar el informe de gestión, dar acceso a toda la información y personas, y entregar una carta de manifestaciones.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fiscal.</w:t>
      </w:r>
      <w:r>
        <w:rPr>
          <w:rFonts w:ascii="Arial" w:cs="Arial" w:eastAsia="Arial" w:hAnsi="Arial"/>
        </w:rPr>
        <w:t xml:space="preserve"> Planear y ejecutar el trabajo, obtener evidencia suficiente y adecuada, y emitir un informe escrito con nuestra conclusión. No tomamos decisiones de gestión.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inherentes.</w:t>
      </w:r>
      <w:r>
        <w:rPr>
          <w:rFonts w:ascii="Arial" w:cs="Arial" w:eastAsia="Arial" w:hAnsi="Arial"/>
        </w:rPr>
        <w:t xml:space="preserve"> El trabajo se hace por muestras y con información de la entidad. Los resultados dependen de la calidad de los registros y de las metas fijadas.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Informe.</w:t>
      </w:r>
      <w:r>
        <w:rPr>
          <w:rFonts w:ascii="Arial" w:cs="Arial" w:eastAsia="Arial" w:hAnsi="Arial"/>
        </w:rPr>
        <w:t xml:space="preserve"> Se entregará por separado o como parte del informe integral del revisor fiscal (Decreto 302, art. 5).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Uso del informe.</w:t>
      </w:r>
      <w:r>
        <w:rPr>
          <w:rFonts w:ascii="Arial" w:cs="Arial" w:eastAsia="Arial" w:hAnsi="Arial"/>
        </w:rPr>
        <w:t xml:space="preserve"> Para la asamblea o junta y los demás usuarios que la entidad indique. No debe usarse con otro fin sin nuestra autorización.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Reserva.</w:t>
      </w:r>
      <w:r>
        <w:rPr>
          <w:rFonts w:ascii="Arial" w:cs="Arial" w:eastAsia="Arial" w:hAnsi="Arial"/>
        </w:rPr>
        <w:t xml:space="preserve"> Guardamos reserva sobre la información de la entidad (Código de Comercio, art. 214).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Honorarios y plazos.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[Escriba. Son distintos de los de la revisoría fiscal legal.]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está de acuerdo, devuelva una copia firmada.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  <w:r>
        <w:rPr>
          <w:rFonts w:ascii="Arial" w:cs="Arial" w:eastAsia="Arial" w:hAnsi="Arial"/>
        </w:rPr>
        <w:t xml:space="preserve">, T.P.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[Firma]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Aceptado por la entidad: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cargo, fecha y firma del representante legal]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PT-GEST-02  ·  Carta de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encargo — PT-GEST-02</dc:title>
  <dc:creator>Assuran</dc:creator>
  <dc:description>Términos del encargo voluntario de aseguramiento sobre la gestión</dc:description>
  <cp:lastModifiedBy>Un-named</cp:lastModifiedBy>
  <cp:revision>1</cp:revision>
  <dcterms:created xsi:type="dcterms:W3CDTF">2026-11-03T03:59:24.963Z</dcterms:created>
  <dcterms:modified xsi:type="dcterms:W3CDTF">2026-11-03T03:59:24.963Z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