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PT-GEST-00</w:t>
      </w:r>
    </w:p>
    <w:p>
      <w:pPr>
        <w:spacing w:after="60"/>
      </w:pPr>
      <w:r>
        <w:rPr>
          <w:rFonts w:ascii="Arial" w:cs="Arial" w:eastAsia="Arial" w:hAnsi="Arial"/>
          <w:b/>
          <w:bCs/>
          <w:color w:val="1F2D3D"/>
          <w:sz w:val="52"/>
          <w:szCs w:val="52"/>
        </w:rPr>
        <w:t xml:space="preserve">Guía de auditoría de gestión</w:t>
      </w:r>
    </w:p>
    <w:p>
      <w:pPr>
        <w:spacing w:after="160"/>
      </w:pPr>
      <w:r>
        <w:rPr>
          <w:rFonts w:ascii="Arial" w:cs="Arial" w:eastAsia="Arial" w:hAnsi="Arial"/>
          <w:color w:val="2872FA"/>
          <w:sz w:val="24"/>
          <w:szCs w:val="24"/>
        </w:rPr>
        <w:t xml:space="preserve">Encargo de aseguramiento sobre economía, eficiencia y eficacia de la gestión, y sobre el informe de gestión, por el revisor fiscal</w:t>
      </w:r>
    </w:p>
    <w:p>
      <w:pPr>
        <w:pStyle w:val="Heading1"/>
        <w:keepNext/>
      </w:pPr>
      <w:r>
        <w:rPr>
          <w:rFonts w:ascii="Arial" w:cs="Arial" w:eastAsia="Arial" w:hAnsi="Arial"/>
        </w:rPr>
        <w:t xml:space="preserve">1. Para qué sirve esta guía</w:t>
      </w:r>
    </w:p>
    <w:p>
      <w:pPr>
        <w:spacing w:after="110" w:line="264"/>
        <w:jc w:val="both"/>
      </w:pPr>
      <w:r>
        <w:rPr>
          <w:rFonts w:ascii="Arial" w:cs="Arial" w:eastAsia="Arial" w:hAnsi="Arial"/>
        </w:rPr>
        <w:t xml:space="preserve">Esta guía orienta un encargo en el que el revisor fiscal concluye sobre la gestión de la entidad: si usó sus recursos con economía y eficiencia y si logró sus objetivos con eficacia, según criterios que acuerda con la administración. También verifica que el informe de gestión de los administradores concuerde con los estados financieros.</w:t>
      </w:r>
    </w:p>
    <w:p>
      <w:pPr>
        <w:spacing w:after="110" w:line="264"/>
        <w:jc w:val="both"/>
      </w:pPr>
      <w:r>
        <w:rPr>
          <w:rFonts w:ascii="Arial" w:cs="Arial" w:eastAsia="Arial" w:hAnsi="Arial"/>
        </w:rPr>
        <w:t xml:space="preserve">Es un encargo de aseguramiento regido por la ISAE 3000, igual que los de control interno (PT-CI-00) y cumplimiento (PT-CUMP-00). Se cierra con un informe integral que reúne las opiniones del revisor fiscal (PT-GEST-25).</w:t>
      </w:r>
    </w:p>
    <w:p>
      <w:pPr>
        <w:pStyle w:val="Heading1"/>
        <w:keepNext/>
      </w:pPr>
      <w:r>
        <w:rPr>
          <w:rFonts w:ascii="Arial" w:cs="Arial" w:eastAsia="Arial" w:hAnsi="Arial"/>
        </w:rPr>
        <w:t xml:space="preserve">2. Qué es y qué no es</w:t>
      </w:r>
    </w:p>
    <w:p>
      <w:pPr>
        <w:pStyle w:val="ListParagraph"/>
        <w:numPr>
          <w:ilvl w:val="0"/>
          <w:numId w:val="2"/>
        </w:numPr>
        <w:spacing w:after="60" w:line="260"/>
        <w:jc w:val="both"/>
      </w:pPr>
      <w:r>
        <w:rPr>
          <w:rFonts w:ascii="Arial" w:cs="Arial" w:eastAsia="Arial" w:hAnsi="Arial"/>
          <w:b/>
          <w:bCs/>
        </w:rPr>
        <w:t xml:space="preserve">No es una función legal del revisor fiscal.</w:t>
      </w:r>
      <w:r>
        <w:rPr>
          <w:rFonts w:ascii="Arial" w:cs="Arial" w:eastAsia="Arial" w:hAnsi="Arial"/>
        </w:rPr>
        <w:t xml:space="preserve"> El Código de Comercio (arts. 207 y 209) no le exige evaluar la economía, la eficiencia ni la eficacia de la gestión. La doctrina contable discute si la auditoría de gestión forma parte de la revisoría fiscal. Por eso este bloque es un </w:t>
      </w:r>
      <w:r>
        <w:rPr>
          <w:rFonts w:ascii="Arial" w:cs="Arial" w:eastAsia="Arial" w:hAnsi="Arial"/>
          <w:b/>
          <w:bCs/>
        </w:rPr>
        <w:t xml:space="preserve">encargo voluntario</w:t>
      </w:r>
      <w:r>
        <w:rPr>
          <w:rFonts w:ascii="Arial" w:cs="Arial" w:eastAsia="Arial" w:hAnsi="Arial"/>
        </w:rPr>
        <w:t xml:space="preserve">, que se pacta por escrito con la entidad.</w:t>
      </w:r>
    </w:p>
    <w:p>
      <w:pPr>
        <w:pStyle w:val="ListParagraph"/>
        <w:numPr>
          <w:ilvl w:val="0"/>
          <w:numId w:val="2"/>
        </w:numPr>
        <w:spacing w:after="60" w:line="260"/>
        <w:jc w:val="both"/>
      </w:pPr>
      <w:r>
        <w:rPr>
          <w:rFonts w:ascii="Arial" w:cs="Arial" w:eastAsia="Arial" w:hAnsi="Arial"/>
          <w:b/>
          <w:bCs/>
        </w:rPr>
        <w:t xml:space="preserve">Los criterios no están en la ley.</w:t>
      </w:r>
      <w:r>
        <w:rPr>
          <w:rFonts w:ascii="Arial" w:cs="Arial" w:eastAsia="Arial" w:hAnsi="Arial"/>
        </w:rPr>
        <w:t xml:space="preserve"> Se acuerdan con la administración (PT-GEST-03) y se dejan por escrito. Sin criterios idóneos no hay encargo de aseguramiento (ISAE 3000, párr. 24 b).</w:t>
      </w:r>
    </w:p>
    <w:p>
      <w:pPr>
        <w:pStyle w:val="ListParagraph"/>
        <w:numPr>
          <w:ilvl w:val="0"/>
          <w:numId w:val="2"/>
        </w:numPr>
        <w:spacing w:after="60" w:line="260"/>
        <w:jc w:val="both"/>
      </w:pPr>
      <w:r>
        <w:rPr>
          <w:rFonts w:ascii="Arial" w:cs="Arial" w:eastAsia="Arial" w:hAnsi="Arial"/>
          <w:b/>
          <w:bCs/>
        </w:rPr>
        <w:t xml:space="preserve">Sí hay un anclaje legal:</w:t>
      </w:r>
      <w:r>
        <w:rPr>
          <w:rFonts w:ascii="Arial" w:cs="Arial" w:eastAsia="Arial" w:hAnsi="Arial"/>
        </w:rPr>
        <w:t xml:space="preserve"> el informe de gestión que presentan los administradores a la asamblea (Ley 222 de 1995, arts. 46 y 47 </w:t>
      </w:r>
      <w:r>
        <w:rPr>
          <w:rFonts w:ascii="Arial" w:cs="Arial" w:eastAsia="Arial" w:hAnsi="Arial"/>
          <w:color w:val="8A6A00"/>
          <w:shd w:fill="FFF4CC" w:color="auto" w:val="clear"/>
        </w:rPr>
        <w:t xml:space="preserve">[verificar vigencia]</w:t>
      </w:r>
      <w:r>
        <w:rPr>
          <w:rFonts w:ascii="Arial" w:cs="Arial" w:eastAsia="Arial" w:hAnsi="Arial"/>
        </w:rPr>
        <w:t xml:space="preserve">) debe tener concordancia con los estados financieros. Esa verificación se hace en el PT-GEST-13.</w:t>
      </w:r>
    </w:p>
    <w:p>
      <w:pPr>
        <w:pStyle w:val="ListParagraph"/>
        <w:numPr>
          <w:ilvl w:val="0"/>
          <w:numId w:val="2"/>
        </w:numPr>
        <w:spacing w:after="140" w:line="260"/>
        <w:jc w:val="both"/>
      </w:pPr>
      <w:r>
        <w:rPr>
          <w:rFonts w:ascii="Arial" w:cs="Arial" w:eastAsia="Arial" w:hAnsi="Arial"/>
          <w:b/>
          <w:bCs/>
        </w:rPr>
        <w:t xml:space="preserve">Lo que se concluye</w:t>
      </w:r>
      <w:r>
        <w:rPr>
          <w:rFonts w:ascii="Arial" w:cs="Arial" w:eastAsia="Arial" w:hAnsi="Arial"/>
        </w:rPr>
        <w:t xml:space="preserve"> es sobre si, en todos los aspectos materiales, la gestión fue económica, eficiente y eficaz con respecto a los criterios acordados, y si el informe de gestión es concordante.</w:t>
      </w:r>
    </w:p>
    <w:p>
      <w:pPr>
        <w:pStyle w:val="Heading1"/>
        <w:keepNext/>
      </w:pPr>
      <w:r>
        <w:rPr>
          <w:rFonts w:ascii="Arial" w:cs="Arial" w:eastAsia="Arial" w:hAnsi="Arial"/>
        </w:rPr>
        <w:t xml:space="preserve">3. Marco normativo</w:t>
      </w:r>
    </w:p>
    <w:p>
      <w:pPr>
        <w:pStyle w:val="ListParagraph"/>
        <w:numPr>
          <w:ilvl w:val="0"/>
          <w:numId w:val="2"/>
        </w:numPr>
        <w:spacing w:after="60" w:line="260"/>
        <w:jc w:val="both"/>
      </w:pPr>
      <w:r>
        <w:rPr>
          <w:rFonts w:ascii="Arial" w:cs="Arial" w:eastAsia="Arial" w:hAnsi="Arial"/>
          <w:b/>
          <w:bCs/>
        </w:rPr>
        <w:t xml:space="preserve">Decreto 302 de 2015.</w:t>
      </w:r>
      <w:r>
        <w:rPr>
          <w:rFonts w:ascii="Arial" w:cs="Arial" w:eastAsia="Arial" w:hAnsi="Arial"/>
        </w:rPr>
        <w:t xml:space="preserve"> Las ISAE se aplican a los encargos de aseguramiento distintos de la auditoría de estados financieros. El art. 5 permite integrar las opiniones en un solo informe.</w:t>
      </w:r>
    </w:p>
    <w:p>
      <w:pPr>
        <w:pStyle w:val="ListParagraph"/>
        <w:numPr>
          <w:ilvl w:val="0"/>
          <w:numId w:val="2"/>
        </w:numPr>
        <w:spacing w:after="60" w:line="260"/>
        <w:jc w:val="both"/>
      </w:pPr>
      <w:r>
        <w:rPr>
          <w:rFonts w:ascii="Arial" w:cs="Arial" w:eastAsia="Arial" w:hAnsi="Arial"/>
          <w:b/>
          <w:bCs/>
        </w:rPr>
        <w:t xml:space="preserve">ISAE 3000 (NIEA 3000, revisada).</w:t>
      </w:r>
      <w:r>
        <w:rPr>
          <w:rFonts w:ascii="Arial" w:cs="Arial" w:eastAsia="Arial" w:hAnsi="Arial"/>
        </w:rPr>
        <w:t xml:space="preserve"> Norma marco, abierta. Estos papeles la configuran para la gestión.</w:t>
      </w:r>
    </w:p>
    <w:p>
      <w:pPr>
        <w:pStyle w:val="ListParagraph"/>
        <w:numPr>
          <w:ilvl w:val="0"/>
          <w:numId w:val="2"/>
        </w:numPr>
        <w:spacing w:after="60" w:line="260"/>
        <w:jc w:val="both"/>
      </w:pPr>
      <w:r>
        <w:rPr>
          <w:rFonts w:ascii="Arial" w:cs="Arial" w:eastAsia="Arial" w:hAnsi="Arial"/>
          <w:b/>
          <w:bCs/>
        </w:rPr>
        <w:t xml:space="preserve">Ley 222 de 1995, arts. 46 y 47 [verificar vigencia].</w:t>
      </w:r>
      <w:r>
        <w:rPr>
          <w:rFonts w:ascii="Arial" w:cs="Arial" w:eastAsia="Arial" w:hAnsi="Arial"/>
        </w:rPr>
        <w:t xml:space="preserve"> Contenido del informe de gestión: evolución de los negocios, situación económica, administrativa y jurídica, hechos posteriores al cierre, evolución previsible, operaciones con socios y administradores. La Ley 603 de 2000 exige informar sobre propiedad intelectual y derechos de autor, y la Ley 1676 de 2013 sobre la libre circulación de las facturas </w:t>
      </w:r>
      <w:r>
        <w:rPr>
          <w:rFonts w:ascii="Arial" w:cs="Arial" w:eastAsia="Arial" w:hAnsi="Arial"/>
          <w:color w:val="8A6A00"/>
          <w:shd w:fill="FFF4CC" w:color="auto" w:val="clear"/>
        </w:rPr>
        <w:t xml:space="preserve">[verificar vigencia]</w:t>
      </w:r>
      <w:r>
        <w:rPr>
          <w:rFonts w:ascii="Arial" w:cs="Arial" w:eastAsia="Arial" w:hAnsi="Arial"/>
        </w:rPr>
        <w:t xml:space="preserve">.</w:t>
      </w:r>
    </w:p>
    <w:p>
      <w:pPr>
        <w:pStyle w:val="ListParagraph"/>
        <w:numPr>
          <w:ilvl w:val="0"/>
          <w:numId w:val="2"/>
        </w:numPr>
        <w:spacing w:after="60" w:line="260"/>
        <w:jc w:val="both"/>
      </w:pPr>
      <w:r>
        <w:rPr>
          <w:rFonts w:ascii="Arial" w:cs="Arial" w:eastAsia="Arial" w:hAnsi="Arial"/>
          <w:b/>
          <w:bCs/>
        </w:rPr>
        <w:t xml:space="preserve">Código de Comercio, art. 214.</w:t>
      </w:r>
      <w:r>
        <w:rPr>
          <w:rFonts w:ascii="Arial" w:cs="Arial" w:eastAsia="Arial" w:hAnsi="Arial"/>
        </w:rPr>
        <w:t xml:space="preserve"> Reserva sobre los hechos conocidos.</w:t>
      </w:r>
    </w:p>
    <w:p>
      <w:pPr>
        <w:pStyle w:val="ListParagraph"/>
        <w:numPr>
          <w:ilvl w:val="0"/>
          <w:numId w:val="2"/>
        </w:numPr>
        <w:spacing w:after="140" w:line="260"/>
        <w:jc w:val="both"/>
      </w:pPr>
      <w:r>
        <w:rPr>
          <w:rFonts w:ascii="Arial" w:cs="Arial" w:eastAsia="Arial" w:hAnsi="Arial"/>
          <w:b/>
          <w:bCs/>
        </w:rPr>
        <w:t xml:space="preserve">Referencias técnicas.</w:t>
      </w:r>
      <w:r>
        <w:rPr>
          <w:rFonts w:ascii="Arial" w:cs="Arial" w:eastAsia="Arial" w:hAnsi="Arial"/>
        </w:rPr>
        <w:t xml:space="preserve"> Los conceptos de economía, eficiencia y eficacia (las “3E”) vienen de las guías de auditoría de gestión de las entidades de control. Úselos como referencia de método, no como norma para el sector privado.</w:t>
      </w:r>
    </w:p>
    <w:p>
      <w:pPr>
        <w:pStyle w:val="Heading1"/>
        <w:keepNext/>
      </w:pPr>
      <w:r>
        <w:rPr>
          <w:rFonts w:ascii="Arial" w:cs="Arial" w:eastAsia="Arial" w:hAnsi="Arial"/>
        </w:rPr>
        <w:t xml:space="preserve">4. Las tres E y la concordancia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3960"/>
      </w:tblGrid>
      <w:tr>
        <w:trPr>
          <w:cantSplit/>
          <w:tblHeader/>
        </w:trPr>
        <w:tc>
          <w:tcPr>
            <w:tcW w:type="dxa" w:w="1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Dimensión</w:t>
            </w:r>
          </w:p>
        </w:tc>
        <w:tc>
          <w:tcPr>
            <w:tcW w:type="dxa" w:w="3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Pregunta</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Ejemplo en una pyme</w:t>
            </w:r>
          </w:p>
        </w:tc>
      </w:tr>
      <w:tr>
        <w:trPr>
          <w:cantSplit/>
        </w:trPr>
        <w:tc>
          <w:tcPr>
            <w:tcW w:type="dxa" w:w="1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Economía</w:t>
            </w:r>
          </w:p>
        </w:tc>
        <w:tc>
          <w:tcPr>
            <w:tcW w:type="dxa" w:w="3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¿Se consiguieron los recursos en cantidad y calidad adecuadas, al menor costo razonable?</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Compras con cotizaciones comparadas; gastos frente al presupuesto.</w:t>
            </w:r>
          </w:p>
        </w:tc>
      </w:tr>
      <w:tr>
        <w:trPr>
          <w:cantSplit/>
        </w:trPr>
        <w:tc>
          <w:tcPr>
            <w:tcW w:type="dxa" w:w="18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Eficiencia</w:t>
            </w:r>
          </w:p>
        </w:tc>
        <w:tc>
          <w:tcPr>
            <w:tcW w:type="dxa" w:w="3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both"/>
            </w:pPr>
            <w:r>
              <w:rPr>
                <w:rFonts w:ascii="Arial" w:cs="Arial" w:eastAsia="Arial" w:hAnsi="Arial"/>
              </w:rPr>
              <w:t xml:space="preserve">¿Se obtuvo la mayor producción posible con los recursos usados?</w:t>
            </w:r>
          </w:p>
        </w:tc>
        <w:tc>
          <w:tcPr>
            <w:tcW w:type="dxa" w:w="39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both"/>
            </w:pPr>
            <w:r>
              <w:rPr>
                <w:rFonts w:ascii="Arial" w:cs="Arial" w:eastAsia="Arial" w:hAnsi="Arial"/>
              </w:rPr>
              <w:t xml:space="preserve">Costo por unidad, tiempos del ciclo, desperdicio, productividad por empleado.</w:t>
            </w:r>
          </w:p>
        </w:tc>
      </w:tr>
      <w:tr>
        <w:trPr>
          <w:cantSplit/>
        </w:trPr>
        <w:tc>
          <w:tcPr>
            <w:tcW w:type="dxa" w:w="1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Eficacia</w:t>
            </w:r>
          </w:p>
        </w:tc>
        <w:tc>
          <w:tcPr>
            <w:tcW w:type="dxa" w:w="3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¿Se lograron los objetivos y metas propuestos?</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Ventas frente a la meta, clientes nuevos, entregas a tiempo.</w:t>
            </w:r>
          </w:p>
        </w:tc>
      </w:tr>
      <w:tr>
        <w:trPr>
          <w:cantSplit/>
        </w:trPr>
        <w:tc>
          <w:tcPr>
            <w:tcW w:type="dxa" w:w="18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Informe de gestión</w:t>
            </w:r>
          </w:p>
        </w:tc>
        <w:tc>
          <w:tcPr>
            <w:tcW w:type="dxa" w:w="3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informe de los administradores es concordante con los estados financieros y completo?</w:t>
            </w:r>
          </w:p>
        </w:tc>
        <w:tc>
          <w:tcPr>
            <w:tcW w:type="dxa" w:w="39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Cifras iguales, hechos posteriores, operaciones con administradores, propiedad intelectual.</w:t>
            </w:r>
          </w:p>
        </w:tc>
      </w:tr>
    </w:tbl>
    <w:p>
      <w:pPr>
        <w:pStyle w:val="Heading1"/>
        <w:keepNext/>
      </w:pPr>
      <w:r>
        <w:rPr>
          <w:rFonts w:ascii="Arial" w:cs="Arial" w:eastAsia="Arial" w:hAnsi="Arial"/>
        </w:rPr>
        <w:t xml:space="preserve">5. Gestión en una pyme y con revisor independiente</w:t>
      </w:r>
    </w:p>
    <w:p>
      <w:pPr>
        <w:pStyle w:val="ListParagraph"/>
        <w:numPr>
          <w:ilvl w:val="0"/>
          <w:numId w:val="2"/>
        </w:numPr>
        <w:spacing w:after="60" w:line="260"/>
        <w:jc w:val="both"/>
      </w:pPr>
      <w:r>
        <w:rPr>
          <w:rFonts w:ascii="Arial" w:cs="Arial" w:eastAsia="Arial" w:hAnsi="Arial"/>
        </w:rPr>
        <w:t xml:space="preserve">Parta de lo que la entidad ya mide: presupuesto, ventas, metas del dueño, indicadores del banco. No invente indicadores que nadie sigue.</w:t>
      </w:r>
    </w:p>
    <w:p>
      <w:pPr>
        <w:pStyle w:val="ListParagraph"/>
        <w:numPr>
          <w:ilvl w:val="0"/>
          <w:numId w:val="2"/>
        </w:numPr>
        <w:spacing w:after="60" w:line="260"/>
        <w:jc w:val="both"/>
      </w:pPr>
      <w:r>
        <w:rPr>
          <w:rFonts w:ascii="Arial" w:cs="Arial" w:eastAsia="Arial" w:hAnsi="Arial"/>
        </w:rPr>
        <w:t xml:space="preserve">Acuerde pocos criterios, claros y medibles. Cinco o diez indicadores bien definidos valen más que cincuenta.</w:t>
      </w:r>
    </w:p>
    <w:p>
      <w:pPr>
        <w:pStyle w:val="ListParagraph"/>
        <w:numPr>
          <w:ilvl w:val="0"/>
          <w:numId w:val="2"/>
        </w:numPr>
        <w:spacing w:after="60" w:line="260"/>
        <w:jc w:val="both"/>
      </w:pPr>
      <w:r>
        <w:rPr>
          <w:rFonts w:ascii="Arial" w:cs="Arial" w:eastAsia="Arial" w:hAnsi="Arial"/>
        </w:rPr>
        <w:t xml:space="preserve">Si no hay presupuesto ni metas, el encargo puede ser solo la concordancia del informe de gestión, o debe empezar por definir metas con la administración.</w:t>
      </w:r>
    </w:p>
    <w:p>
      <w:pPr>
        <w:pStyle w:val="ListParagraph"/>
        <w:numPr>
          <w:ilvl w:val="0"/>
          <w:numId w:val="2"/>
        </w:numPr>
        <w:spacing w:after="140" w:line="260"/>
        <w:jc w:val="both"/>
      </w:pPr>
      <w:r>
        <w:rPr>
          <w:rFonts w:ascii="Arial" w:cs="Arial" w:eastAsia="Arial" w:hAnsi="Arial"/>
        </w:rPr>
        <w:t xml:space="preserve">La independencia importa: no proponga ni diseñe la gestión que después va a evaluar. Las recomendaciones del PT-GEST-15 son observaciones, no decisiones.</w:t>
      </w:r>
    </w:p>
    <w:p>
      <w:pPr>
        <w:pStyle w:val="Heading1"/>
        <w:keepNext/>
      </w:pPr>
      <w:r>
        <w:rPr>
          <w:rFonts w:ascii="Arial" w:cs="Arial" w:eastAsia="Arial" w:hAnsi="Arial"/>
        </w:rPr>
        <w:t xml:space="preserve">6. Mapa de los papeles</w:t>
      </w:r>
    </w:p>
    <w:p>
      <w:pPr>
        <w:keepNext/>
        <w:spacing w:after="80" w:line="264"/>
        <w:jc w:val="both"/>
      </w:pPr>
      <w:r>
        <w:rPr>
          <w:rFonts w:ascii="Arial" w:cs="Arial" w:eastAsia="Arial" w:hAnsi="Arial"/>
        </w:rPr>
        <w:t xml:space="preserve">La tercera columna indica el formato: los papeles de matrices y cálculos están en Excel; los de texto, en Word.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900"/>
        <w:gridCol w:w="900"/>
        <w:gridCol w:w="3160"/>
      </w:tblGrid>
      <w:tr>
        <w:trPr>
          <w:cantSplit/>
          <w:tblHeader/>
        </w:trPr>
        <w:tc>
          <w:tcPr>
            <w:tcW w:type="dxa" w:w="1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Referencia</w:t>
            </w:r>
          </w:p>
        </w:tc>
        <w:tc>
          <w:tcPr>
            <w:tcW w:type="dxa" w:w="39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Papel de trabajo</w:t>
            </w:r>
          </w:p>
        </w:tc>
        <w:tc>
          <w:tcPr>
            <w:tcW w:type="dxa" w:w="9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Formato</w:t>
            </w:r>
          </w:p>
        </w:tc>
        <w:tc>
          <w:tcPr>
            <w:tcW w:type="dxa" w:w="31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ISAE 3000 / norma</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PT-GEST-01</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Aceptación del encargo y condiciones previas</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21 a 26</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PT-GEST-02</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Carta de encargo</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27 a 30</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PT-GEST-03</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Objetivos, alcance y criterios de gestión</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24 b, 41, 63</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PT-GEST-04</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Conocimiento de la entidad y su estrategia</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45 a 47R</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PT-GEST-05</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Importancia relativa del encargo</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44</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PT-GEST-06</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Valoración de riesgos de gestión</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46R, 47R</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PT-GEST-07</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Programa del encargo</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40, 48R, 49R</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PT-GEST-08</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Cronograma de actividades</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40</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PT-GEST-09</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Análisis de indicadores de gestión</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48R, 49R</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PT-GEST-10</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Economía</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Criterios acordados</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PT-GEST-11</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Eficiencia</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Criterios acordados</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PT-GEST-12</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Eficacia</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Criterios acordados</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PT-GEST-13</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Revisión del informe de gestión</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Ley 222, arts. 46 y 47</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PT-GEST-14</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Entrevistas y evidencia de gestión</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48R, 49R</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PT-GEST-15</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Hallazgos y recomendaciones</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51, 64, 65</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PT-GEST-16</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Comunicación de hallazgos</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78</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PT-GEST-17</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Manifestaciones escritas</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56 a 60</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PT-GEST-18</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Hechos posteriores y otra información</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61, 62</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PT-GEST-19</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Resumen de hallazgos y determinación de la conclusión</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Excel</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64 a 66, 72 a 77</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PT-GEST-20</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Guía del informe de aseguramiento</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67 a 71</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PT-GEST-21</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Informe sin salvedades</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72</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PT-GEST-22</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Informe con salvedades</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74, 75</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PT-GEST-23</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Informe con conclusión adversa</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Párr. 74, 75</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PT-GEST-24</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Informe con denegación de conclusión</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Párr. 74 a 76</w:t>
            </w:r>
          </w:p>
        </w:tc>
      </w:tr>
      <w:tr>
        <w:trPr>
          <w:cantSplit/>
        </w:trPr>
        <w:tc>
          <w:tcPr>
            <w:tcW w:type="dxa" w:w="1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PT-GEST-25</w:t>
            </w:r>
          </w:p>
        </w:tc>
        <w:tc>
          <w:tcPr>
            <w:tcW w:type="dxa" w:w="3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Informe integral del revisor fiscal</w:t>
            </w:r>
          </w:p>
        </w:tc>
        <w:tc>
          <w:tcPr>
            <w:tcW w:type="dxa" w:w="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Decreto 302, art. 5</w:t>
            </w:r>
          </w:p>
        </w:tc>
      </w:tr>
      <w:tr>
        <w:trPr>
          <w:cantSplit/>
        </w:trPr>
        <w:tc>
          <w:tcPr>
            <w:tcW w:type="dxa" w:w="1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PT-GEST-26</w:t>
            </w:r>
          </w:p>
        </w:tc>
        <w:tc>
          <w:tcPr>
            <w:tcW w:type="dxa" w:w="3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Lista de chequeo de calidad y cierre</w:t>
            </w:r>
          </w:p>
        </w:tc>
        <w:tc>
          <w:tcPr>
            <w:tcW w:type="dxa" w:w="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Word</w:t>
            </w:r>
          </w:p>
        </w:tc>
        <w:tc>
          <w:tcPr>
            <w:tcW w:type="dxa" w:w="3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Párr. 31 a 36, 79 a 83</w:t>
            </w:r>
          </w:p>
        </w:tc>
      </w:tr>
    </w:tbl>
    <w:p>
      <w:pPr>
        <w:pStyle w:val="Heading1"/>
        <w:keepNext/>
      </w:pPr>
      <w:r>
        <w:rPr>
          <w:rFonts w:ascii="Arial" w:cs="Arial" w:eastAsia="Arial" w:hAnsi="Arial"/>
        </w:rPr>
        <w:t xml:space="preserve">7. Paso a paso</w:t>
      </w:r>
    </w:p>
    <w:p>
      <w:pPr>
        <w:pStyle w:val="ListParagraph"/>
        <w:numPr>
          <w:ilvl w:val="0"/>
          <w:numId w:val="3"/>
        </w:numPr>
        <w:spacing w:after="70" w:line="260"/>
        <w:jc w:val="both"/>
      </w:pPr>
      <w:r>
        <w:rPr>
          <w:rFonts w:ascii="Arial" w:cs="Arial" w:eastAsia="Arial" w:hAnsi="Arial"/>
          <w:b/>
          <w:bCs/>
        </w:rPr>
        <w:t xml:space="preserve">Aceptar y pactar.</w:t>
      </w:r>
      <w:r>
        <w:rPr>
          <w:rFonts w:ascii="Arial" w:cs="Arial" w:eastAsia="Arial" w:hAnsi="Arial"/>
        </w:rPr>
        <w:t xml:space="preserve"> Complete el PT-GEST-01 y firme la carta (PT-GEST-02). Como el encargo es voluntario, la carta es indispensable.</w:t>
      </w:r>
    </w:p>
    <w:p>
      <w:pPr>
        <w:pStyle w:val="ListParagraph"/>
        <w:numPr>
          <w:ilvl w:val="0"/>
          <w:numId w:val="3"/>
        </w:numPr>
        <w:spacing w:after="70" w:line="260"/>
        <w:jc w:val="both"/>
      </w:pPr>
      <w:r>
        <w:rPr>
          <w:rFonts w:ascii="Arial" w:cs="Arial" w:eastAsia="Arial" w:hAnsi="Arial"/>
          <w:b/>
          <w:bCs/>
        </w:rPr>
        <w:t xml:space="preserve">Fijar los criterios.</w:t>
      </w:r>
      <w:r>
        <w:rPr>
          <w:rFonts w:ascii="Arial" w:cs="Arial" w:eastAsia="Arial" w:hAnsi="Arial"/>
        </w:rPr>
        <w:t xml:space="preserve"> Con el PT-GEST-03 acuerde objetivos, alcance e indicadores con la administración.</w:t>
      </w:r>
    </w:p>
    <w:p>
      <w:pPr>
        <w:pStyle w:val="ListParagraph"/>
        <w:numPr>
          <w:ilvl w:val="0"/>
          <w:numId w:val="3"/>
        </w:numPr>
        <w:spacing w:after="70" w:line="260"/>
        <w:jc w:val="both"/>
      </w:pPr>
      <w:r>
        <w:rPr>
          <w:rFonts w:ascii="Arial" w:cs="Arial" w:eastAsia="Arial" w:hAnsi="Arial"/>
          <w:b/>
          <w:bCs/>
        </w:rPr>
        <w:t xml:space="preserve">Entender y valorar riesgos.</w:t>
      </w:r>
      <w:r>
        <w:rPr>
          <w:rFonts w:ascii="Arial" w:cs="Arial" w:eastAsia="Arial" w:hAnsi="Arial"/>
        </w:rPr>
        <w:t xml:space="preserve"> Conozca la entidad (PT-GEST-04), fije los umbrales (PT-GEST-05) y valore los riesgos (PT-GEST-06).</w:t>
      </w:r>
    </w:p>
    <w:p>
      <w:pPr>
        <w:pStyle w:val="ListParagraph"/>
        <w:numPr>
          <w:ilvl w:val="0"/>
          <w:numId w:val="3"/>
        </w:numPr>
        <w:spacing w:after="70" w:line="260"/>
        <w:jc w:val="both"/>
      </w:pPr>
      <w:r>
        <w:rPr>
          <w:rFonts w:ascii="Arial" w:cs="Arial" w:eastAsia="Arial" w:hAnsi="Arial"/>
          <w:b/>
          <w:bCs/>
        </w:rPr>
        <w:t xml:space="preserve">Planear.</w:t>
      </w:r>
      <w:r>
        <w:rPr>
          <w:rFonts w:ascii="Arial" w:cs="Arial" w:eastAsia="Arial" w:hAnsi="Arial"/>
        </w:rPr>
        <w:t xml:space="preserve"> Programa (PT-GEST-07) y cronograma (PT-GEST-08).</w:t>
      </w:r>
    </w:p>
    <w:p>
      <w:pPr>
        <w:pStyle w:val="ListParagraph"/>
        <w:numPr>
          <w:ilvl w:val="0"/>
          <w:numId w:val="3"/>
        </w:numPr>
        <w:spacing w:after="70" w:line="260"/>
        <w:jc w:val="both"/>
      </w:pPr>
      <w:r>
        <w:rPr>
          <w:rFonts w:ascii="Arial" w:cs="Arial" w:eastAsia="Arial" w:hAnsi="Arial"/>
          <w:b/>
          <w:bCs/>
        </w:rPr>
        <w:t xml:space="preserve">Ejecutar.</w:t>
      </w:r>
      <w:r>
        <w:rPr>
          <w:rFonts w:ascii="Arial" w:cs="Arial" w:eastAsia="Arial" w:hAnsi="Arial"/>
        </w:rPr>
        <w:t xml:space="preserve"> Analice indicadores (PT-GEST-09), economía, eficiencia y eficacia (PT-GEST-10 a 12), el informe de gestión (PT-GEST-13) y la evidencia cualitativa (PT-GEST-14).</w:t>
      </w:r>
    </w:p>
    <w:p>
      <w:pPr>
        <w:pStyle w:val="ListParagraph"/>
        <w:numPr>
          <w:ilvl w:val="0"/>
          <w:numId w:val="3"/>
        </w:numPr>
        <w:spacing w:after="70" w:line="260"/>
        <w:jc w:val="both"/>
      </w:pPr>
      <w:r>
        <w:rPr>
          <w:rFonts w:ascii="Arial" w:cs="Arial" w:eastAsia="Arial" w:hAnsi="Arial"/>
          <w:b/>
          <w:bCs/>
        </w:rPr>
        <w:t xml:space="preserve">Evaluar.</w:t>
      </w:r>
      <w:r>
        <w:rPr>
          <w:rFonts w:ascii="Arial" w:cs="Arial" w:eastAsia="Arial" w:hAnsi="Arial"/>
        </w:rPr>
        <w:t xml:space="preserve"> Registre y clasifique los hallazgos (PT-GEST-15) y comuníquelos (PT-GEST-16).</w:t>
      </w:r>
    </w:p>
    <w:p>
      <w:pPr>
        <w:pStyle w:val="ListParagraph"/>
        <w:numPr>
          <w:ilvl w:val="0"/>
          <w:numId w:val="3"/>
        </w:numPr>
        <w:spacing w:after="70" w:line="260"/>
        <w:jc w:val="both"/>
      </w:pPr>
      <w:r>
        <w:rPr>
          <w:rFonts w:ascii="Arial" w:cs="Arial" w:eastAsia="Arial" w:hAnsi="Arial"/>
          <w:b/>
          <w:bCs/>
        </w:rPr>
        <w:t xml:space="preserve">Concluir.</w:t>
      </w:r>
      <w:r>
        <w:rPr>
          <w:rFonts w:ascii="Arial" w:cs="Arial" w:eastAsia="Arial" w:hAnsi="Arial"/>
        </w:rPr>
        <w:t xml:space="preserve"> Resuma en el PT-GEST-19, obtenga manifestaciones (PT-GEST-17), revise hechos posteriores (PT-GEST-18) y emita el informe (PT-GEST-20 a 24). Consolide en el PT-GEST-25.</w:t>
      </w:r>
    </w:p>
    <w:p>
      <w:pPr>
        <w:pStyle w:val="ListParagraph"/>
        <w:numPr>
          <w:ilvl w:val="0"/>
          <w:numId w:val="3"/>
        </w:numPr>
        <w:spacing w:after="140" w:line="260"/>
        <w:jc w:val="both"/>
      </w:pPr>
      <w:r>
        <w:rPr>
          <w:rFonts w:ascii="Arial" w:cs="Arial" w:eastAsia="Arial" w:hAnsi="Arial"/>
          <w:b/>
          <w:bCs/>
        </w:rPr>
        <w:t xml:space="preserve">Cerrar.</w:t>
      </w:r>
      <w:r>
        <w:rPr>
          <w:rFonts w:ascii="Arial" w:cs="Arial" w:eastAsia="Arial" w:hAnsi="Arial"/>
        </w:rPr>
        <w:t xml:space="preserve"> Complete el PT-GEST-26 y cierre el archivo en los 60 días siguientes al informe.</w:t>
      </w:r>
    </w:p>
    <w:p>
      <w:pPr>
        <w:pStyle w:val="Heading1"/>
        <w:keepNext/>
      </w:pPr>
      <w:r>
        <w:rPr>
          <w:rFonts w:ascii="Arial" w:cs="Arial" w:eastAsia="Arial" w:hAnsi="Arial"/>
        </w:rPr>
        <w:t xml:space="preserve">8. Reglas que valen para todos los papeles</w:t>
      </w:r>
    </w:p>
    <w:p>
      <w:pPr>
        <w:pStyle w:val="ListParagraph"/>
        <w:numPr>
          <w:ilvl w:val="0"/>
          <w:numId w:val="2"/>
        </w:numPr>
        <w:spacing w:after="60" w:line="260"/>
        <w:jc w:val="both"/>
      </w:pPr>
      <w:r>
        <w:rPr>
          <w:rFonts w:ascii="Arial" w:cs="Arial" w:eastAsia="Arial" w:hAnsi="Arial"/>
        </w:rPr>
        <w:t xml:space="preserve">Los textos amarillos entre corchetes son instrucciones o campos para llenar. Bórrelos al diligenciar.</w:t>
      </w:r>
    </w:p>
    <w:p>
      <w:pPr>
        <w:pStyle w:val="ListParagraph"/>
        <w:numPr>
          <w:ilvl w:val="0"/>
          <w:numId w:val="2"/>
        </w:numPr>
        <w:spacing w:after="60" w:line="260"/>
        <w:jc w:val="both"/>
      </w:pPr>
      <w:r>
        <w:rPr>
          <w:rFonts w:ascii="Arial" w:cs="Arial" w:eastAsia="Arial" w:hAnsi="Arial"/>
        </w:rPr>
        <w:t xml:space="preserve">Todo riesgo se valora con probabilidad y con impacto, de 1 a 3. La multiplicación da el nivel: de 1 a 2 verde, de 3 a 4 amarillo y de 6 a 9 rojo.</w:t>
      </w:r>
    </w:p>
    <w:p>
      <w:pPr>
        <w:pStyle w:val="ListParagraph"/>
        <w:numPr>
          <w:ilvl w:val="0"/>
          <w:numId w:val="2"/>
        </w:numPr>
        <w:spacing w:after="60" w:line="260"/>
        <w:jc w:val="both"/>
      </w:pPr>
      <w:r>
        <w:rPr>
          <w:rFonts w:ascii="Arial" w:cs="Arial" w:eastAsia="Arial" w:hAnsi="Arial"/>
        </w:rPr>
        <w:t xml:space="preserve">Para persona natural, lea “la Firma” como “yo”. Para persona jurídica, úselo como está.</w:t>
      </w:r>
    </w:p>
    <w:p>
      <w:pPr>
        <w:pStyle w:val="ListParagraph"/>
        <w:numPr>
          <w:ilvl w:val="0"/>
          <w:numId w:val="2"/>
        </w:numPr>
        <w:spacing w:after="60" w:line="260"/>
        <w:jc w:val="both"/>
      </w:pPr>
      <w:r>
        <w:rPr>
          <w:rFonts w:ascii="Arial" w:cs="Arial" w:eastAsia="Arial" w:hAnsi="Arial"/>
        </w:rPr>
        <w:t xml:space="preserve">La independencia y la confidencialidad están en el PT-CALIDAD-05 y el PT-CALIDAD-04.</w:t>
      </w:r>
    </w:p>
    <w:p>
      <w:pPr>
        <w:pStyle w:val="ListParagraph"/>
        <w:numPr>
          <w:ilvl w:val="0"/>
          <w:numId w:val="2"/>
        </w:numPr>
        <w:spacing w:after="140" w:line="260"/>
        <w:jc w:val="both"/>
      </w:pPr>
      <w:r>
        <w:rPr>
          <w:rFonts w:ascii="Arial" w:cs="Arial" w:eastAsia="Arial" w:hAnsi="Arial"/>
        </w:rPr>
        <w:t xml:space="preserve">Las normas citadas de memoria llevan la marca </w:t>
      </w:r>
      <w:r>
        <w:rPr>
          <w:rFonts w:ascii="Arial" w:cs="Arial" w:eastAsia="Arial" w:hAnsi="Arial"/>
          <w:color w:val="8A6A00"/>
          <w:shd w:fill="FFF4CC" w:color="auto" w:val="clear"/>
        </w:rPr>
        <w:t xml:space="preserve">[verificar vigencia]</w:t>
      </w:r>
      <w:r>
        <w:rPr>
          <w:rFonts w:ascii="Arial" w:cs="Arial" w:eastAsia="Arial" w:hAnsi="Arial"/>
        </w:rPr>
        <w:t xml:space="preserve">: confírmelas en su versión actual antes de usarlas.</w:t>
      </w:r>
    </w:p>
    <w:p>
      <w:pPr>
        <w:pStyle w:val="Heading1"/>
        <w:keepNext/>
      </w:pPr>
      <w:r>
        <w:rPr>
          <w:rFonts w:ascii="Arial" w:cs="Arial" w:eastAsia="Arial" w:hAnsi="Arial"/>
        </w:rPr>
        <w:t xml:space="preserve">9. Limitaciones inherentes</w:t>
      </w:r>
    </w:p>
    <w:p>
      <w:pPr>
        <w:spacing w:after="110" w:line="264"/>
        <w:jc w:val="both"/>
      </w:pPr>
      <w:r>
        <w:rPr>
          <w:rFonts w:ascii="Arial" w:cs="Arial" w:eastAsia="Arial" w:hAnsi="Arial"/>
        </w:rPr>
        <w:t xml:space="preserve">La gestión se evalúa con criterios acordados y con información de la propia entidad, por muestras. Los resultados dependen de la calidad de los registros y de las metas fijadas. El informe lo dice expresamente (PT-GEST-20).</w:t>
      </w: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PT-GEST-00  ·  Guía de auditoría de gestión</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auditoría de gestión — PT-GEST-00</dc:title>
  <dc:creator>Assuran</dc:creator>
  <dc:description>Cómo usar los papeles del encargo voluntario de aseguramiento sobre la gestión de la entidad y el informe de gestión, por el revisor fiscal (ISAE 3000, Decreto 302 de 2015)</dc:description>
  <cp:lastModifiedBy>Un-named</cp:lastModifiedBy>
  <cp:revision>1</cp:revision>
  <dcterms:created xsi:type="dcterms:W3CDTF">2026-11-03T03:59:24.447Z</dcterms:created>
  <dcterms:modified xsi:type="dcterms:W3CDTF">2026-11-03T03:59:24.447Z</dcterms:modified>
</cp:coreProperties>
</file>

<file path=docProps/custom.xml><?xml version="1.0" encoding="utf-8"?>
<Properties xmlns="http://schemas.openxmlformats.org/officeDocument/2006/custom-properties" xmlns:vt="http://schemas.openxmlformats.org/officeDocument/2006/docPropsVTypes"/>
</file>