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before="200"/>
      </w:pPr>
      <w:r>
        <w:rPr>
          <w:rFonts w:ascii="Consolas" w:cs="Consolas" w:eastAsia="Consolas" w:hAnsi="Consolas"/>
          <w:b/>
          <w:bCs/>
          <w:color w:val="6B7A8C"/>
          <w:sz w:val="20"/>
          <w:szCs w:val="20"/>
        </w:rPr>
        <w:t xml:space="preserve">PT-EEFF-33</w:t>
      </w:r>
    </w:p>
    <w:p>
      <w:pPr>
        <w:spacing w:after="60"/>
      </w:pPr>
      <w:r>
        <w:rPr>
          <w:rFonts w:ascii="Arial" w:cs="Arial" w:eastAsia="Arial" w:hAnsi="Arial"/>
          <w:b/>
          <w:bCs/>
          <w:color w:val="1F2D3D"/>
          <w:sz w:val="52"/>
          <w:szCs w:val="52"/>
        </w:rPr>
        <w:t xml:space="preserve">Guía del informe de auditoría</w:t>
      </w:r>
    </w:p>
    <w:p>
      <w:pPr>
        <w:spacing w:after="160"/>
      </w:pPr>
      <w:r>
        <w:rPr>
          <w:rFonts w:ascii="Arial" w:cs="Arial" w:eastAsia="Arial" w:hAnsi="Arial"/>
          <w:color w:val="2872FA"/>
          <w:sz w:val="24"/>
          <w:szCs w:val="24"/>
        </w:rPr>
        <w:t xml:space="preserve">Elementos del informe, requisitos previos y párrafos adicionales (NIA 700, 705, 706, 570 y 720)</w:t>
      </w:r>
    </w:p>
    <w:p>
      <w:pPr>
        <w:spacing w:after="140" w:line="264"/>
        <w:jc w:val="both"/>
      </w:pPr>
      <w:r>
        <w:rPr>
          <w:rFonts w:ascii="Arial" w:cs="Arial" w:eastAsia="Arial" w:hAnsi="Arial"/>
          <w:color w:val="8A6A00"/>
          <w:shd w:fill="FFF4CC" w:color="auto" w:val="clear"/>
        </w:rPr>
        <w:t xml:space="preserve">[Escoja el modelo según el resultado del PT-EEFF-28. Cada tipo de opinión tiene su papel propio: PT-EEFF-34 sin salvedades; 35 con salvedades por incorrección; 36 con salvedades por imposibilidad de obtener evidencia; 37 opinión adversa (negativa); 38 abstención de opinión. Reemplace lo que está entre corchetes. El informe se firma y se fecha no antes de que haya evidencia suficiente, de que la administración haya aprobado los estados financieros y de que esté firmada la carta de manifestaciones (PT-EEFF-30). Los modelos siguen la NIA 700 (revisada) y, para el revisor fiscal, el contenido del dictamen del artículo 208 del Código de Comercio. El pronunciamiento sobre control interno y cumplimiento legal y estatutario (art. 209 del Código de Comercio) se tratará en los bloques de control interno y de cumplimiento; si lo incluye en el mismo documento, agréguelo en la sección “Informe sobre otros requerimientos legales y reglamentarios”.]</w:t>
      </w:r>
    </w:p>
    <w:p>
      <w:pPr>
        <w:pStyle w:val="Heading2"/>
        <w:keepNext/>
      </w:pPr>
      <w:r>
        <w:rPr>
          <w:rFonts w:ascii="Arial" w:cs="Arial" w:eastAsia="Arial" w:hAnsi="Arial"/>
        </w:rPr>
        <w:t xml:space="preserve">I. Antes de emitir</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00"/>
        <w:gridCol w:w="4400"/>
        <w:gridCol w:w="720"/>
        <w:gridCol w:w="720"/>
        <w:gridCol w:w="720"/>
        <w:gridCol w:w="2200"/>
      </w:tblGrid>
      <w:tr>
        <w:trPr>
          <w:cantSplit/>
          <w:tblHeader/>
        </w:trPr>
        <w:tc>
          <w:tcPr>
            <w:tcW w:type="dxa" w:w="600"/>
            <w:tcBorders>
              <w:top w:val="single" w:color="BFC9D9" w:sz="4"/>
              <w:left w:val="single" w:color="BFC9D9" w:sz="4"/>
              <w:bottom w:val="single" w:color="BFC9D9" w:sz="4"/>
              <w:right w:val="single" w:color="BFC9D9" w:sz="4"/>
            </w:tcBorders>
            <w:shd w:fill="2872FA"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b/>
                <w:bCs/>
                <w:color w:val="FFFFFF"/>
                <w:sz w:val="22"/>
                <w:szCs w:val="22"/>
              </w:rPr>
              <w:t xml:space="preserve">N.º</w:t>
            </w:r>
          </w:p>
        </w:tc>
        <w:tc>
          <w:tcPr>
            <w:tcW w:type="dxa" w:w="4400"/>
            <w:tcBorders>
              <w:top w:val="single" w:color="BFC9D9" w:sz="4"/>
              <w:left w:val="single" w:color="BFC9D9" w:sz="4"/>
              <w:bottom w:val="single" w:color="BFC9D9" w:sz="4"/>
              <w:right w:val="single" w:color="BFC9D9" w:sz="4"/>
            </w:tcBorders>
            <w:shd w:fill="2872FA"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b/>
                <w:bCs/>
                <w:color w:val="FFFFFF"/>
                <w:sz w:val="22"/>
                <w:szCs w:val="22"/>
              </w:rPr>
              <w:t xml:space="preserve">Pregunta</w:t>
            </w:r>
          </w:p>
        </w:tc>
        <w:tc>
          <w:tcPr>
            <w:tcW w:type="dxa" w:w="720"/>
            <w:tcBorders>
              <w:top w:val="single" w:color="BFC9D9" w:sz="4"/>
              <w:left w:val="single" w:color="BFC9D9" w:sz="4"/>
              <w:bottom w:val="single" w:color="BFC9D9" w:sz="4"/>
              <w:right w:val="single" w:color="BFC9D9" w:sz="4"/>
            </w:tcBorders>
            <w:shd w:fill="2872FA"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b/>
                <w:bCs/>
                <w:color w:val="FFFFFF"/>
                <w:sz w:val="22"/>
                <w:szCs w:val="22"/>
              </w:rPr>
              <w:t xml:space="preserve">Sí</w:t>
            </w:r>
          </w:p>
        </w:tc>
        <w:tc>
          <w:tcPr>
            <w:tcW w:type="dxa" w:w="720"/>
            <w:tcBorders>
              <w:top w:val="single" w:color="BFC9D9" w:sz="4"/>
              <w:left w:val="single" w:color="BFC9D9" w:sz="4"/>
              <w:bottom w:val="single" w:color="BFC9D9" w:sz="4"/>
              <w:right w:val="single" w:color="BFC9D9" w:sz="4"/>
            </w:tcBorders>
            <w:shd w:fill="2872FA"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b/>
                <w:bCs/>
                <w:color w:val="FFFFFF"/>
                <w:sz w:val="22"/>
                <w:szCs w:val="22"/>
              </w:rPr>
              <w:t xml:space="preserve">No</w:t>
            </w:r>
          </w:p>
        </w:tc>
        <w:tc>
          <w:tcPr>
            <w:tcW w:type="dxa" w:w="720"/>
            <w:tcBorders>
              <w:top w:val="single" w:color="BFC9D9" w:sz="4"/>
              <w:left w:val="single" w:color="BFC9D9" w:sz="4"/>
              <w:bottom w:val="single" w:color="BFC9D9" w:sz="4"/>
              <w:right w:val="single" w:color="BFC9D9" w:sz="4"/>
            </w:tcBorders>
            <w:shd w:fill="2872FA"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b/>
                <w:bCs/>
                <w:color w:val="FFFFFF"/>
                <w:sz w:val="22"/>
                <w:szCs w:val="22"/>
              </w:rPr>
              <w:t xml:space="preserve">N/A</w:t>
            </w:r>
          </w:p>
        </w:tc>
        <w:tc>
          <w:tcPr>
            <w:tcW w:type="dxa" w:w="2200"/>
            <w:tcBorders>
              <w:top w:val="single" w:color="BFC9D9" w:sz="4"/>
              <w:left w:val="single" w:color="BFC9D9" w:sz="4"/>
              <w:bottom w:val="single" w:color="BFC9D9" w:sz="4"/>
              <w:right w:val="single" w:color="BFC9D9" w:sz="4"/>
            </w:tcBorders>
            <w:shd w:fill="2872FA"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b/>
                <w:bCs/>
                <w:color w:val="FFFFFF"/>
                <w:sz w:val="22"/>
                <w:szCs w:val="22"/>
              </w:rPr>
              <w:t xml:space="preserve">Referencia</w:t>
            </w:r>
          </w:p>
        </w:tc>
      </w:tr>
      <w:tr>
        <w:trPr>
          <w:cantSplit/>
        </w:trPr>
        <w:tc>
          <w:tcPr>
            <w:tcW w:type="dxa" w:w="60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1</w:t>
            </w:r>
          </w:p>
        </w:tc>
        <w:tc>
          <w:tcPr>
            <w:tcW w:type="dxa" w:w="440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both"/>
            </w:pPr>
            <w:r>
              <w:rPr>
                <w:rFonts w:ascii="Arial" w:cs="Arial" w:eastAsia="Arial" w:hAnsi="Arial"/>
              </w:rPr>
              <w:t xml:space="preserve">El resumen de diferencias y la opinión están aprobados por el responsable del encargo (PT-EEFF-28).</w:t>
            </w:r>
          </w:p>
        </w:tc>
        <w:tc>
          <w:tcPr>
            <w:tcW w:type="dxa" w:w="72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c>
          <w:tcPr>
            <w:tcW w:type="dxa" w:w="72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c>
          <w:tcPr>
            <w:tcW w:type="dxa" w:w="72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c>
          <w:tcPr>
            <w:tcW w:type="dxa" w:w="220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r>
      <w:tr>
        <w:trPr>
          <w:cantSplit/>
        </w:trPr>
        <w:tc>
          <w:tcPr>
            <w:tcW w:type="dxa" w:w="600"/>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2</w:t>
            </w:r>
          </w:p>
        </w:tc>
        <w:tc>
          <w:tcPr>
            <w:tcW w:type="dxa" w:w="4400"/>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val="false"/>
              <w:spacing w:after="40" w:line="250"/>
              <w:jc w:val="both"/>
            </w:pPr>
            <w:r>
              <w:rPr>
                <w:rFonts w:ascii="Arial" w:cs="Arial" w:eastAsia="Arial" w:hAnsi="Arial"/>
              </w:rPr>
              <w:t xml:space="preserve">La lista de chequeo de calidad está completa (PT-EEFF-32).</w:t>
            </w:r>
          </w:p>
        </w:tc>
        <w:tc>
          <w:tcPr>
            <w:tcW w:type="dxa" w:w="720"/>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c>
          <w:tcPr>
            <w:tcW w:type="dxa" w:w="720"/>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c>
          <w:tcPr>
            <w:tcW w:type="dxa" w:w="720"/>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c>
          <w:tcPr>
            <w:tcW w:type="dxa" w:w="2200"/>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r>
      <w:tr>
        <w:trPr>
          <w:cantSplit/>
        </w:trPr>
        <w:tc>
          <w:tcPr>
            <w:tcW w:type="dxa" w:w="60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3</w:t>
            </w:r>
          </w:p>
        </w:tc>
        <w:tc>
          <w:tcPr>
            <w:tcW w:type="dxa" w:w="440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both"/>
            </w:pPr>
            <w:r>
              <w:rPr>
                <w:rFonts w:ascii="Arial" w:cs="Arial" w:eastAsia="Arial" w:hAnsi="Arial"/>
              </w:rPr>
              <w:t xml:space="preserve">La carta de manifestaciones está firmada y fechada el día del informe (PT-EEFF-30).</w:t>
            </w:r>
          </w:p>
        </w:tc>
        <w:tc>
          <w:tcPr>
            <w:tcW w:type="dxa" w:w="72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c>
          <w:tcPr>
            <w:tcW w:type="dxa" w:w="72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c>
          <w:tcPr>
            <w:tcW w:type="dxa" w:w="72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c>
          <w:tcPr>
            <w:tcW w:type="dxa" w:w="220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r>
      <w:tr>
        <w:trPr>
          <w:cantSplit/>
        </w:trPr>
        <w:tc>
          <w:tcPr>
            <w:tcW w:type="dxa" w:w="600"/>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4</w:t>
            </w:r>
          </w:p>
        </w:tc>
        <w:tc>
          <w:tcPr>
            <w:tcW w:type="dxa" w:w="4400"/>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val="false"/>
              <w:spacing w:after="40" w:line="250"/>
              <w:jc w:val="both"/>
            </w:pPr>
            <w:r>
              <w:rPr>
                <w:rFonts w:ascii="Arial" w:cs="Arial" w:eastAsia="Arial" w:hAnsi="Arial"/>
              </w:rPr>
              <w:t xml:space="preserve">Los estados financieros comparativos y las notas están firmados por el representante legal y el contador.</w:t>
            </w:r>
          </w:p>
        </w:tc>
        <w:tc>
          <w:tcPr>
            <w:tcW w:type="dxa" w:w="720"/>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c>
          <w:tcPr>
            <w:tcW w:type="dxa" w:w="720"/>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c>
          <w:tcPr>
            <w:tcW w:type="dxa" w:w="720"/>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c>
          <w:tcPr>
            <w:tcW w:type="dxa" w:w="2200"/>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r>
      <w:tr>
        <w:trPr>
          <w:cantSplit/>
        </w:trPr>
        <w:tc>
          <w:tcPr>
            <w:tcW w:type="dxa" w:w="60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5</w:t>
            </w:r>
          </w:p>
        </w:tc>
        <w:tc>
          <w:tcPr>
            <w:tcW w:type="dxa" w:w="440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both"/>
            </w:pPr>
            <w:r>
              <w:rPr>
                <w:rFonts w:ascii="Arial" w:cs="Arial" w:eastAsia="Arial" w:hAnsi="Arial"/>
              </w:rPr>
              <w:t xml:space="preserve">Se comunicaron las deficiencias, las incorrecciones y el tipo de opinión a los encargados del gobierno (PT-EEFF-31).</w:t>
            </w:r>
          </w:p>
        </w:tc>
        <w:tc>
          <w:tcPr>
            <w:tcW w:type="dxa" w:w="72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c>
          <w:tcPr>
            <w:tcW w:type="dxa" w:w="72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c>
          <w:tcPr>
            <w:tcW w:type="dxa" w:w="72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c>
          <w:tcPr>
            <w:tcW w:type="dxa" w:w="220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r>
      <w:tr>
        <w:trPr>
          <w:cantSplit/>
        </w:trPr>
        <w:tc>
          <w:tcPr>
            <w:tcW w:type="dxa" w:w="600"/>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6</w:t>
            </w:r>
          </w:p>
        </w:tc>
        <w:tc>
          <w:tcPr>
            <w:tcW w:type="dxa" w:w="4400"/>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val="false"/>
              <w:spacing w:after="40" w:line="250"/>
              <w:jc w:val="both"/>
            </w:pPr>
            <w:r>
              <w:rPr>
                <w:rFonts w:ascii="Arial" w:cs="Arial" w:eastAsia="Arial" w:hAnsi="Arial"/>
              </w:rPr>
              <w:t xml:space="preserve">Hechos posteriores y empresa en funcionamiento evaluados hasta la fecha del informe (PT-EEFF-29).</w:t>
            </w:r>
          </w:p>
        </w:tc>
        <w:tc>
          <w:tcPr>
            <w:tcW w:type="dxa" w:w="720"/>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c>
          <w:tcPr>
            <w:tcW w:type="dxa" w:w="720"/>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c>
          <w:tcPr>
            <w:tcW w:type="dxa" w:w="720"/>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c>
          <w:tcPr>
            <w:tcW w:type="dxa" w:w="2200"/>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r>
      <w:tr>
        <w:trPr>
          <w:cantSplit/>
        </w:trPr>
        <w:tc>
          <w:tcPr>
            <w:tcW w:type="dxa" w:w="60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7</w:t>
            </w:r>
          </w:p>
        </w:tc>
        <w:tc>
          <w:tcPr>
            <w:tcW w:type="dxa" w:w="440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both"/>
            </w:pPr>
            <w:r>
              <w:rPr>
                <w:rFonts w:ascii="Arial" w:cs="Arial" w:eastAsia="Arial" w:hAnsi="Arial"/>
              </w:rPr>
              <w:t xml:space="preserve">La otra información (informe de gestión) fue leída y concuerda con los estados (NIA 720).</w:t>
            </w:r>
          </w:p>
        </w:tc>
        <w:tc>
          <w:tcPr>
            <w:tcW w:type="dxa" w:w="72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c>
          <w:tcPr>
            <w:tcW w:type="dxa" w:w="72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c>
          <w:tcPr>
            <w:tcW w:type="dxa" w:w="72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c>
          <w:tcPr>
            <w:tcW w:type="dxa" w:w="220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r>
    </w:tbl>
    <w:p>
      <w:pPr>
        <w:spacing w:after="100"/>
      </w:pPr>
    </w:p>
    <w:p>
      <w:pPr>
        <w:pStyle w:val="Heading2"/>
        <w:keepNext/>
      </w:pPr>
      <w:r>
        <w:rPr>
          <w:rFonts w:ascii="Arial" w:cs="Arial" w:eastAsia="Arial" w:hAnsi="Arial"/>
        </w:rPr>
        <w:t xml:space="preserve">II. Elementos del informe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562"/>
        <w:gridCol w:w="2434"/>
        <w:gridCol w:w="6364"/>
      </w:tblGrid>
      <w:tr>
        <w:trPr>
          <w:cantSplit/>
          <w:tblHeader/>
        </w:trPr>
        <w:tc>
          <w:tcPr>
            <w:tcW w:type="dxa" w:w="562"/>
            <w:tcBorders>
              <w:top w:val="single" w:color="BFC9D9" w:sz="4"/>
              <w:left w:val="single" w:color="BFC9D9" w:sz="4"/>
              <w:bottom w:val="single" w:color="BFC9D9" w:sz="4"/>
              <w:right w:val="single" w:color="BFC9D9" w:sz="4"/>
            </w:tcBorders>
            <w:shd w:fill="2872FA"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b/>
                <w:bCs/>
                <w:color w:val="FFFFFF"/>
                <w:sz w:val="22"/>
                <w:szCs w:val="22"/>
              </w:rPr>
              <w:t xml:space="preserve">N.º</w:t>
            </w:r>
          </w:p>
        </w:tc>
        <w:tc>
          <w:tcPr>
            <w:tcW w:type="dxa" w:w="2434"/>
            <w:tcBorders>
              <w:top w:val="single" w:color="BFC9D9" w:sz="4"/>
              <w:left w:val="single" w:color="BFC9D9" w:sz="4"/>
              <w:bottom w:val="single" w:color="BFC9D9" w:sz="4"/>
              <w:right w:val="single" w:color="BFC9D9" w:sz="4"/>
            </w:tcBorders>
            <w:shd w:fill="2872FA"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b/>
                <w:bCs/>
                <w:color w:val="FFFFFF"/>
                <w:sz w:val="22"/>
                <w:szCs w:val="22"/>
              </w:rPr>
              <w:t xml:space="preserve">Elemento</w:t>
            </w:r>
          </w:p>
        </w:tc>
        <w:tc>
          <w:tcPr>
            <w:tcW w:type="dxa" w:w="6364"/>
            <w:tcBorders>
              <w:top w:val="single" w:color="BFC9D9" w:sz="4"/>
              <w:left w:val="single" w:color="BFC9D9" w:sz="4"/>
              <w:bottom w:val="single" w:color="BFC9D9" w:sz="4"/>
              <w:right w:val="single" w:color="BFC9D9" w:sz="4"/>
            </w:tcBorders>
            <w:shd w:fill="2872FA"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b/>
                <w:bCs/>
                <w:color w:val="FFFFFF"/>
                <w:sz w:val="22"/>
                <w:szCs w:val="22"/>
              </w:rPr>
              <w:t xml:space="preserve">Contenido</w:t>
            </w:r>
          </w:p>
        </w:tc>
      </w:tr>
      <w:tr>
        <w:trPr>
          <w:cantSplit/>
        </w:trPr>
        <w:tc>
          <w:tcPr>
            <w:tcW w:type="dxa" w:w="562"/>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b/>
                <w:bCs/>
              </w:rPr>
              <w:t xml:space="preserve">1</w:t>
            </w:r>
          </w:p>
        </w:tc>
        <w:tc>
          <w:tcPr>
            <w:tcW w:type="dxa" w:w="2434"/>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Título</w:t>
            </w:r>
          </w:p>
        </w:tc>
        <w:tc>
          <w:tcPr>
            <w:tcW w:type="dxa" w:w="6364"/>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both"/>
            </w:pPr>
            <w:r>
              <w:rPr>
                <w:rFonts w:ascii="Arial" w:cs="Arial" w:eastAsia="Arial" w:hAnsi="Arial"/>
              </w:rPr>
              <w:t xml:space="preserve">“Informe del auditor independiente” o “Informe del revisor fiscal”.</w:t>
            </w:r>
          </w:p>
        </w:tc>
      </w:tr>
      <w:tr>
        <w:trPr>
          <w:cantSplit/>
        </w:trPr>
        <w:tc>
          <w:tcPr>
            <w:tcW w:type="dxa" w:w="562"/>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b/>
                <w:bCs/>
              </w:rPr>
              <w:t xml:space="preserve">2</w:t>
            </w:r>
          </w:p>
        </w:tc>
        <w:tc>
          <w:tcPr>
            <w:tcW w:type="dxa" w:w="2434"/>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Destinatario</w:t>
            </w:r>
          </w:p>
        </w:tc>
        <w:tc>
          <w:tcPr>
            <w:tcW w:type="dxa" w:w="6364"/>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val="false"/>
              <w:spacing w:after="40" w:line="250"/>
              <w:jc w:val="both"/>
            </w:pPr>
            <w:r>
              <w:rPr>
                <w:rFonts w:ascii="Arial" w:cs="Arial" w:eastAsia="Arial" w:hAnsi="Arial"/>
              </w:rPr>
              <w:t xml:space="preserve">Asamblea de accionistas, junta de socios o quien contrató la auditoría.</w:t>
            </w:r>
          </w:p>
        </w:tc>
      </w:tr>
      <w:tr>
        <w:trPr>
          <w:cantSplit/>
        </w:trPr>
        <w:tc>
          <w:tcPr>
            <w:tcW w:type="dxa" w:w="562"/>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b/>
                <w:bCs/>
              </w:rPr>
              <w:t xml:space="preserve">3</w:t>
            </w:r>
          </w:p>
        </w:tc>
        <w:tc>
          <w:tcPr>
            <w:tcW w:type="dxa" w:w="2434"/>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Opinión (primera sección)</w:t>
            </w:r>
          </w:p>
        </w:tc>
        <w:tc>
          <w:tcPr>
            <w:tcW w:type="dxa" w:w="6364"/>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both"/>
            </w:pPr>
            <w:r>
              <w:rPr>
                <w:rFonts w:ascii="Arial" w:cs="Arial" w:eastAsia="Arial" w:hAnsi="Arial"/>
              </w:rPr>
              <w:t xml:space="preserve">Identifica la entidad, los estados auditados, las notas y la fecha; indica el tipo de opinión. Va antes del fundamento.</w:t>
            </w:r>
          </w:p>
        </w:tc>
      </w:tr>
      <w:tr>
        <w:trPr>
          <w:cantSplit/>
        </w:trPr>
        <w:tc>
          <w:tcPr>
            <w:tcW w:type="dxa" w:w="562"/>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b/>
                <w:bCs/>
              </w:rPr>
              <w:t xml:space="preserve">4</w:t>
            </w:r>
          </w:p>
        </w:tc>
        <w:tc>
          <w:tcPr>
            <w:tcW w:type="dxa" w:w="2434"/>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Fundamento de la opinión</w:t>
            </w:r>
          </w:p>
        </w:tc>
        <w:tc>
          <w:tcPr>
            <w:tcW w:type="dxa" w:w="6364"/>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val="false"/>
              <w:spacing w:after="40" w:line="250"/>
              <w:jc w:val="both"/>
            </w:pPr>
            <w:r>
              <w:rPr>
                <w:rFonts w:ascii="Arial" w:cs="Arial" w:eastAsia="Arial" w:hAnsi="Arial"/>
              </w:rPr>
              <w:t xml:space="preserve">Las normas aplicadas (NIA), las responsabilidades del auditor, la independencia y los requerimientos éticos, y que la evidencia es suficiente y adecuada. En opinión modificada, la explicación del asunto.</w:t>
            </w:r>
          </w:p>
        </w:tc>
      </w:tr>
      <w:tr>
        <w:trPr>
          <w:cantSplit/>
        </w:trPr>
        <w:tc>
          <w:tcPr>
            <w:tcW w:type="dxa" w:w="562"/>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b/>
                <w:bCs/>
              </w:rPr>
              <w:t xml:space="preserve">5</w:t>
            </w:r>
          </w:p>
        </w:tc>
        <w:tc>
          <w:tcPr>
            <w:tcW w:type="dxa" w:w="2434"/>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both"/>
            </w:pPr>
            <w:r>
              <w:rPr>
                <w:rFonts w:ascii="Arial" w:cs="Arial" w:eastAsia="Arial" w:hAnsi="Arial"/>
              </w:rPr>
              <w:t xml:space="preserve">Incertidumbre material de empresa en funcionamiento</w:t>
            </w:r>
          </w:p>
        </w:tc>
        <w:tc>
          <w:tcPr>
            <w:tcW w:type="dxa" w:w="6364"/>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both"/>
            </w:pPr>
            <w:r>
              <w:rPr>
                <w:rFonts w:ascii="Arial" w:cs="Arial" w:eastAsia="Arial" w:hAnsi="Arial"/>
              </w:rPr>
              <w:t xml:space="preserve">Sección propia cuando existe y se revela adecuadamente (NIA 570).</w:t>
            </w:r>
          </w:p>
        </w:tc>
      </w:tr>
      <w:tr>
        <w:trPr>
          <w:cantSplit/>
        </w:trPr>
        <w:tc>
          <w:tcPr>
            <w:tcW w:type="dxa" w:w="562"/>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b/>
                <w:bCs/>
              </w:rPr>
              <w:t xml:space="preserve">6</w:t>
            </w:r>
          </w:p>
        </w:tc>
        <w:tc>
          <w:tcPr>
            <w:tcW w:type="dxa" w:w="2434"/>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Énfasis y otros asuntos</w:t>
            </w:r>
          </w:p>
        </w:tc>
        <w:tc>
          <w:tcPr>
            <w:tcW w:type="dxa" w:w="6364"/>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Después de la opinión (NIA 706).</w:t>
            </w:r>
          </w:p>
        </w:tc>
      </w:tr>
      <w:tr>
        <w:trPr>
          <w:cantSplit/>
        </w:trPr>
        <w:tc>
          <w:tcPr>
            <w:tcW w:type="dxa" w:w="562"/>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b/>
                <w:bCs/>
              </w:rPr>
              <w:t xml:space="preserve">7</w:t>
            </w:r>
          </w:p>
        </w:tc>
        <w:tc>
          <w:tcPr>
            <w:tcW w:type="dxa" w:w="2434"/>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Cuestiones clave de auditoría</w:t>
            </w:r>
          </w:p>
        </w:tc>
        <w:tc>
          <w:tcPr>
            <w:tcW w:type="dxa" w:w="6364"/>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both"/>
            </w:pPr>
            <w:r>
              <w:rPr>
                <w:rFonts w:ascii="Arial" w:cs="Arial" w:eastAsia="Arial" w:hAnsi="Arial"/>
              </w:rPr>
              <w:t xml:space="preserve">Obligatorias solo en entidades cotizadas (NIA 701); voluntarias en las demás.</w:t>
            </w:r>
          </w:p>
        </w:tc>
      </w:tr>
      <w:tr>
        <w:trPr>
          <w:cantSplit/>
        </w:trPr>
        <w:tc>
          <w:tcPr>
            <w:tcW w:type="dxa" w:w="562"/>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b/>
                <w:bCs/>
              </w:rPr>
              <w:t xml:space="preserve">8</w:t>
            </w:r>
          </w:p>
        </w:tc>
        <w:tc>
          <w:tcPr>
            <w:tcW w:type="dxa" w:w="2434"/>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Otra información</w:t>
            </w:r>
          </w:p>
        </w:tc>
        <w:tc>
          <w:tcPr>
            <w:tcW w:type="dxa" w:w="6364"/>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val="false"/>
              <w:spacing w:after="40" w:line="250"/>
              <w:jc w:val="both"/>
            </w:pPr>
            <w:r>
              <w:rPr>
                <w:rFonts w:ascii="Arial" w:cs="Arial" w:eastAsia="Arial" w:hAnsi="Arial"/>
              </w:rPr>
              <w:t xml:space="preserve">Si hay informe de gestión u otra información (NIA 720).</w:t>
            </w:r>
          </w:p>
        </w:tc>
      </w:tr>
      <w:tr>
        <w:trPr>
          <w:cantSplit/>
        </w:trPr>
        <w:tc>
          <w:tcPr>
            <w:tcW w:type="dxa" w:w="562"/>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b/>
                <w:bCs/>
              </w:rPr>
              <w:t xml:space="preserve">9</w:t>
            </w:r>
          </w:p>
        </w:tc>
        <w:tc>
          <w:tcPr>
            <w:tcW w:type="dxa" w:w="2434"/>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both"/>
            </w:pPr>
            <w:r>
              <w:rPr>
                <w:rFonts w:ascii="Arial" w:cs="Arial" w:eastAsia="Arial" w:hAnsi="Arial"/>
              </w:rPr>
              <w:t xml:space="preserve">Responsabilidades de la administración y de los encargados del gobierno</w:t>
            </w:r>
          </w:p>
        </w:tc>
        <w:tc>
          <w:tcPr>
            <w:tcW w:type="dxa" w:w="6364"/>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both"/>
            </w:pPr>
            <w:r>
              <w:rPr>
                <w:rFonts w:ascii="Arial" w:cs="Arial" w:eastAsia="Arial" w:hAnsi="Arial"/>
              </w:rPr>
              <w:t xml:space="preserve">Preparación y presentación razonable, control interno, empresa en funcionamiento y supervisión.</w:t>
            </w:r>
          </w:p>
        </w:tc>
      </w:tr>
      <w:tr>
        <w:trPr>
          <w:cantSplit/>
        </w:trPr>
        <w:tc>
          <w:tcPr>
            <w:tcW w:type="dxa" w:w="562"/>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b/>
                <w:bCs/>
              </w:rPr>
              <w:t xml:space="preserve">10</w:t>
            </w:r>
          </w:p>
        </w:tc>
        <w:tc>
          <w:tcPr>
            <w:tcW w:type="dxa" w:w="2434"/>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Responsabilidades del auditor</w:t>
            </w:r>
          </w:p>
        </w:tc>
        <w:tc>
          <w:tcPr>
            <w:tcW w:type="dxa" w:w="6364"/>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val="false"/>
              <w:spacing w:after="40" w:line="250"/>
              <w:jc w:val="both"/>
            </w:pPr>
            <w:r>
              <w:rPr>
                <w:rFonts w:ascii="Arial" w:cs="Arial" w:eastAsia="Arial" w:hAnsi="Arial"/>
              </w:rPr>
              <w:t xml:space="preserve">Objetivo, seguridad razonable, escepticismo y juicio profesional, riesgos, control interno, estimaciones, empresa en funcionamiento, presentación y comunicación con el gobierno.</w:t>
            </w:r>
          </w:p>
        </w:tc>
      </w:tr>
      <w:tr>
        <w:trPr>
          <w:cantSplit/>
        </w:trPr>
        <w:tc>
          <w:tcPr>
            <w:tcW w:type="dxa" w:w="562"/>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b/>
                <w:bCs/>
              </w:rPr>
              <w:t xml:space="preserve">11</w:t>
            </w:r>
          </w:p>
        </w:tc>
        <w:tc>
          <w:tcPr>
            <w:tcW w:type="dxa" w:w="2434"/>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Firma, fecha y lugar</w:t>
            </w:r>
          </w:p>
        </w:tc>
        <w:tc>
          <w:tcPr>
            <w:tcW w:type="dxa" w:w="6364"/>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both"/>
            </w:pPr>
            <w:r>
              <w:rPr>
                <w:rFonts w:ascii="Arial" w:cs="Arial" w:eastAsia="Arial" w:hAnsi="Arial"/>
              </w:rPr>
              <w:t xml:space="preserve">Firma con número de tarjeta profesional; fecha del informe, que no es anterior a la de la evidencia suficiente. Si es firma, el nombre de la firma y del socio.</w:t>
            </w:r>
          </w:p>
        </w:tc>
      </w:tr>
    </w:tbl>
    <w:p>
      <w:pPr>
        <w:spacing w:after="100"/>
      </w:pPr>
    </w:p>
    <w:p>
      <w:pPr>
        <w:pageBreakBefore/>
      </w:pPr>
      <w:r>
        <w:rPr>
          <w:rFonts w:ascii="Arial" w:cs="Arial" w:eastAsia="Arial" w:hAnsi="Arial"/>
          <w:b/>
          <w:bCs/>
          <w:color w:val="1F2D3D"/>
          <w:sz w:val="28"/>
          <w:szCs w:val="28"/>
        </w:rPr>
        <w:t xml:space="preserve">Párrafos adicionales (aplican a cualquiera de los cinco tipos de opinión)</w:t>
      </w:r>
    </w:p>
    <w:p>
      <w:pPr>
        <w:pStyle w:val="Heading2"/>
        <w:keepNext/>
      </w:pPr>
      <w:r>
        <w:rPr>
          <w:rFonts w:ascii="Arial" w:cs="Arial" w:eastAsia="Arial" w:hAnsi="Arial"/>
        </w:rPr>
        <w:t xml:space="preserve">Incertidumbre material relacionada con la empresa en funcionamiento (NIA 570)</w:t>
      </w:r>
    </w:p>
    <w:p>
      <w:pPr>
        <w:spacing w:after="100" w:line="264"/>
        <w:jc w:val="both"/>
      </w:pPr>
      <w:r>
        <w:rPr>
          <w:rFonts w:ascii="Arial" w:cs="Arial" w:eastAsia="Arial" w:hAnsi="Arial"/>
        </w:rPr>
        <w:t xml:space="preserve">Llamo (llamamos) la atención sobre la nota </w:t>
      </w:r>
      <w:r>
        <w:rPr>
          <w:rFonts w:ascii="Arial" w:cs="Arial" w:eastAsia="Arial" w:hAnsi="Arial"/>
          <w:color w:val="8A6A00"/>
          <w:shd w:fill="FFF4CC" w:color="auto" w:val="clear"/>
        </w:rPr>
        <w:t xml:space="preserve">[N]</w:t>
      </w:r>
      <w:r>
        <w:rPr>
          <w:rFonts w:ascii="Arial" w:cs="Arial" w:eastAsia="Arial" w:hAnsi="Arial"/>
        </w:rPr>
        <w:t xml:space="preserve"> a los estados financieros, que indica que la Entidad incurrió en una pérdida neta de $</w:t>
      </w:r>
      <w:r>
        <w:rPr>
          <w:rFonts w:ascii="Arial" w:cs="Arial" w:eastAsia="Arial" w:hAnsi="Arial"/>
          <w:color w:val="8A6A00"/>
          <w:shd w:fill="FFF4CC" w:color="auto" w:val="clear"/>
        </w:rPr>
        <w:t xml:space="preserve">[valor]</w:t>
      </w:r>
      <w:r>
        <w:rPr>
          <w:rFonts w:ascii="Arial" w:cs="Arial" w:eastAsia="Arial" w:hAnsi="Arial"/>
        </w:rPr>
        <w:t xml:space="preserve"> durante el año terminado el </w:t>
      </w:r>
      <w:r>
        <w:rPr>
          <w:rFonts w:ascii="Arial" w:cs="Arial" w:eastAsia="Arial" w:hAnsi="Arial"/>
          <w:color w:val="8A6A00"/>
          <w:shd w:fill="FFF4CC" w:color="auto" w:val="clear"/>
        </w:rPr>
        <w:t xml:space="preserve">[fecha]</w:t>
      </w:r>
      <w:r>
        <w:rPr>
          <w:rFonts w:ascii="Arial" w:cs="Arial" w:eastAsia="Arial" w:hAnsi="Arial"/>
        </w:rPr>
        <w:t xml:space="preserve"> y que, a esa fecha, sus pasivos corrientes excedían sus activos corrientes en $</w:t>
      </w:r>
      <w:r>
        <w:rPr>
          <w:rFonts w:ascii="Arial" w:cs="Arial" w:eastAsia="Arial" w:hAnsi="Arial"/>
          <w:color w:val="8A6A00"/>
          <w:shd w:fill="FFF4CC" w:color="auto" w:val="clear"/>
        </w:rPr>
        <w:t xml:space="preserve">[valor]</w:t>
      </w:r>
      <w:r>
        <w:rPr>
          <w:rFonts w:ascii="Arial" w:cs="Arial" w:eastAsia="Arial" w:hAnsi="Arial"/>
        </w:rPr>
        <w:t xml:space="preserve">. Estos hechos, junto con otros asuntos expuestos en la nota </w:t>
      </w:r>
      <w:r>
        <w:rPr>
          <w:rFonts w:ascii="Arial" w:cs="Arial" w:eastAsia="Arial" w:hAnsi="Arial"/>
          <w:color w:val="8A6A00"/>
          <w:shd w:fill="FFF4CC" w:color="auto" w:val="clear"/>
        </w:rPr>
        <w:t xml:space="preserve">[N]</w:t>
      </w:r>
      <w:r>
        <w:rPr>
          <w:rFonts w:ascii="Arial" w:cs="Arial" w:eastAsia="Arial" w:hAnsi="Arial"/>
        </w:rPr>
        <w:t xml:space="preserve">, indican que existe una incertidumbre material que puede generar dudas significativas sobre la capacidad de la Entidad para continuar como empresa en funcionamiento. Mi (nuestra) opinión no ha sido modificada por este asunto. </w:t>
      </w:r>
      <w:r>
        <w:rPr>
          <w:rFonts w:ascii="Arial" w:cs="Arial" w:eastAsia="Arial" w:hAnsi="Arial"/>
          <w:color w:val="8A6A00"/>
          <w:shd w:fill="FFF4CC" w:color="auto" w:val="clear"/>
        </w:rPr>
        <w:t xml:space="preserve">[Si la revelación es inadecuada: opinión con salvedades o adversa.]</w:t>
      </w:r>
    </w:p>
    <w:p>
      <w:pPr>
        <w:pStyle w:val="Heading2"/>
        <w:keepNext/>
      </w:pPr>
      <w:r>
        <w:rPr>
          <w:rFonts w:ascii="Arial" w:cs="Arial" w:eastAsia="Arial" w:hAnsi="Arial"/>
        </w:rPr>
        <w:t xml:space="preserve">Párrafo de énfasis (NIA 706)</w:t>
      </w:r>
    </w:p>
    <w:p>
      <w:pPr>
        <w:spacing w:after="100" w:line="264"/>
        <w:jc w:val="both"/>
      </w:pPr>
      <w:r>
        <w:rPr>
          <w:rFonts w:ascii="Arial" w:cs="Arial" w:eastAsia="Arial" w:hAnsi="Arial"/>
        </w:rPr>
        <w:t xml:space="preserve">Se usa para llamar la atención sobre un asunto ya presentado o revelado en los estados que es fundamental para que los usuarios los comprendan, y sobre el cual hay evidencia suficiente. Va después de la opinión, con el título “Énfasis en un asunto”: “Llamo (llamamos) la atención sobre la nota </w:t>
      </w:r>
      <w:r>
        <w:rPr>
          <w:rFonts w:ascii="Arial" w:cs="Arial" w:eastAsia="Arial" w:hAnsi="Arial"/>
          <w:color w:val="8A6A00"/>
          <w:shd w:fill="FFF4CC" w:color="auto" w:val="clear"/>
        </w:rPr>
        <w:t xml:space="preserve">[N]</w:t>
      </w:r>
      <w:r>
        <w:rPr>
          <w:rFonts w:ascii="Arial" w:cs="Arial" w:eastAsia="Arial" w:hAnsi="Arial"/>
        </w:rPr>
        <w:t xml:space="preserve">, que describe </w:t>
      </w:r>
      <w:r>
        <w:rPr>
          <w:rFonts w:ascii="Arial" w:cs="Arial" w:eastAsia="Arial" w:hAnsi="Arial"/>
          <w:color w:val="8A6A00"/>
          <w:shd w:fill="FFF4CC" w:color="auto" w:val="clear"/>
        </w:rPr>
        <w:t xml:space="preserve">[el asunto: por ejemplo, un litigio significativo o un evento posterior]</w:t>
      </w:r>
      <w:r>
        <w:rPr>
          <w:rFonts w:ascii="Arial" w:cs="Arial" w:eastAsia="Arial" w:hAnsi="Arial"/>
        </w:rPr>
        <w:t xml:space="preserve">. Mi (nuestra) opinión no ha sido modificada en relación con este asunto.”</w:t>
      </w:r>
    </w:p>
    <w:p>
      <w:pPr>
        <w:pStyle w:val="Heading2"/>
        <w:keepNext/>
      </w:pPr>
      <w:r>
        <w:rPr>
          <w:rFonts w:ascii="Arial" w:cs="Arial" w:eastAsia="Arial" w:hAnsi="Arial"/>
        </w:rPr>
        <w:t xml:space="preserve">Párrafo de otros asuntos (NIA 706)</w:t>
      </w:r>
    </w:p>
    <w:p>
      <w:pPr>
        <w:spacing w:after="100" w:line="264"/>
        <w:jc w:val="both"/>
      </w:pPr>
      <w:r>
        <w:rPr>
          <w:rFonts w:ascii="Arial" w:cs="Arial" w:eastAsia="Arial" w:hAnsi="Arial"/>
        </w:rPr>
        <w:t xml:space="preserve">Para asuntos no presentados en los estados que son relevantes para entender la auditoría o el informe. Por ejemplo, cuando los estados del periodo anterior fueron auditados por otro auditor: “Los estados financieros de </w:t>
      </w:r>
      <w:r>
        <w:rPr>
          <w:rFonts w:ascii="Arial" w:cs="Arial" w:eastAsia="Arial" w:hAnsi="Arial"/>
          <w:color w:val="8A6A00"/>
          <w:shd w:fill="FFF4CC" w:color="auto" w:val="clear"/>
        </w:rPr>
        <w:t xml:space="preserve">[Entidad]</w:t>
      </w:r>
      <w:r>
        <w:rPr>
          <w:rFonts w:ascii="Arial" w:cs="Arial" w:eastAsia="Arial" w:hAnsi="Arial"/>
        </w:rPr>
        <w:t xml:space="preserve"> al </w:t>
      </w:r>
      <w:r>
        <w:rPr>
          <w:rFonts w:ascii="Arial" w:cs="Arial" w:eastAsia="Arial" w:hAnsi="Arial"/>
          <w:color w:val="8A6A00"/>
          <w:shd w:fill="FFF4CC" w:color="auto" w:val="clear"/>
        </w:rPr>
        <w:t xml:space="preserve">[fecha anterior]</w:t>
      </w:r>
      <w:r>
        <w:rPr>
          <w:rFonts w:ascii="Arial" w:cs="Arial" w:eastAsia="Arial" w:hAnsi="Arial"/>
        </w:rPr>
        <w:t xml:space="preserve"> fueron auditados por otro auditor, quien expresó una opinión </w:t>
      </w:r>
      <w:r>
        <w:rPr>
          <w:rFonts w:ascii="Arial" w:cs="Arial" w:eastAsia="Arial" w:hAnsi="Arial"/>
          <w:color w:val="8A6A00"/>
          <w:shd w:fill="FFF4CC" w:color="auto" w:val="clear"/>
        </w:rPr>
        <w:t xml:space="preserve">[sin salvedades]</w:t>
      </w:r>
      <w:r>
        <w:rPr>
          <w:rFonts w:ascii="Arial" w:cs="Arial" w:eastAsia="Arial" w:hAnsi="Arial"/>
        </w:rPr>
        <w:t xml:space="preserve"> el </w:t>
      </w:r>
      <w:r>
        <w:rPr>
          <w:rFonts w:ascii="Arial" w:cs="Arial" w:eastAsia="Arial" w:hAnsi="Arial"/>
          <w:color w:val="8A6A00"/>
          <w:shd w:fill="FFF4CC" w:color="auto" w:val="clear"/>
        </w:rPr>
        <w:t xml:space="preserve">[fecha]</w:t>
      </w:r>
      <w:r>
        <w:rPr>
          <w:rFonts w:ascii="Arial" w:cs="Arial" w:eastAsia="Arial" w:hAnsi="Arial"/>
        </w:rPr>
        <w:t xml:space="preserve">.” Va después del párrafo de énfasis, si lo hay.</w:t>
      </w:r>
    </w:p>
    <w:p>
      <w:pPr>
        <w:pStyle w:val="Heading2"/>
        <w:keepNext/>
      </w:pPr>
      <w:r>
        <w:rPr>
          <w:rFonts w:ascii="Arial" w:cs="Arial" w:eastAsia="Arial" w:hAnsi="Arial"/>
        </w:rPr>
        <w:t xml:space="preserve">Informe sobre otros requerimientos legales y reglamentarios</w:t>
      </w:r>
    </w:p>
    <w:p>
      <w:pPr>
        <w:spacing w:after="100" w:line="264"/>
        <w:jc w:val="both"/>
      </w:pPr>
      <w:r>
        <w:rPr>
          <w:rFonts w:ascii="Arial" w:cs="Arial" w:eastAsia="Arial" w:hAnsi="Arial"/>
          <w:color w:val="8A6A00"/>
          <w:shd w:fill="FFF4CC" w:color="auto" w:val="clear"/>
        </w:rPr>
        <w:t xml:space="preserve">[Si el encargo es de revisoría fiscal: incluya aquí, con los títulos propios, el pronunciamiento sobre si la contabilidad se lleva conforme a las normas legales y la técnica contable, si las operaciones se ajustan a los estatutos y a las decisiones de la asamblea o junta, si la correspondencia, los comprobantes y los libros de actas y de accionistas se llevan y conservan debidamente, si hay concordancia entre el informe de gestión y los estados financieros, y si la entidad cumple los aportes al sistema de seguridad social. Estos pronunciamientos se desarrollan en los bloques de control interno y de cumplimiento.]</w:t>
      </w:r>
    </w:p>
    <w:p>
      <w:pPr>
        <w:pStyle w:val="Heading2"/>
        <w:keepNext/>
      </w:pPr>
      <w:r>
        <w:rPr>
          <w:rFonts w:ascii="Arial" w:cs="Arial" w:eastAsia="Arial" w:hAnsi="Arial"/>
        </w:rPr>
        <w:t xml:space="preserve">Persona natural y persona jurídica</w:t>
      </w:r>
    </w:p>
    <w:p>
      <w:pPr>
        <w:pStyle w:val="ListParagraph"/>
        <w:numPr>
          <w:ilvl w:val="0"/>
          <w:numId w:val="2"/>
        </w:numPr>
        <w:spacing w:after="60" w:line="260"/>
        <w:jc w:val="both"/>
      </w:pPr>
      <w:r>
        <w:rPr>
          <w:rFonts w:ascii="Arial" w:cs="Arial" w:eastAsia="Arial" w:hAnsi="Arial"/>
        </w:rPr>
        <w:t xml:space="preserve">Persona natural (auditor o revisor fiscal ejerciente): firme con su nombre y tarjeta profesional; use “he auditado”, “mi opinión”, “soy independiente”.</w:t>
      </w:r>
    </w:p>
    <w:p>
      <w:pPr>
        <w:pStyle w:val="ListParagraph"/>
        <w:numPr>
          <w:ilvl w:val="0"/>
          <w:numId w:val="2"/>
        </w:numPr>
        <w:spacing w:after="140" w:line="260"/>
        <w:jc w:val="both"/>
      </w:pPr>
      <w:r>
        <w:rPr>
          <w:rFonts w:ascii="Arial" w:cs="Arial" w:eastAsia="Arial" w:hAnsi="Arial"/>
        </w:rPr>
        <w:t xml:space="preserve">Persona jurídica (firma): el informe lo firma el contador público designado, con su tarjeta profesional, indicando que actúa por la firma y con su número de registro; use “hemos auditado”, “nuestra opinión”.</w:t>
      </w:r>
    </w:p>
    <w:p>
      <w:pPr>
        <w:pStyle w:val="Heading2"/>
        <w:keepNext/>
      </w:pPr>
      <w:r>
        <w:rPr>
          <w:rFonts w:ascii="Arial" w:cs="Arial" w:eastAsia="Arial" w:hAnsi="Arial"/>
        </w:rPr>
        <w:t xml:space="preserve">Revisión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Pr>
        <w:tc>
          <w:tcPr>
            <w:tcW w:type="dxa" w:w="9360"/>
            <w:tcBorders>
              <w:top w:val="single" w:color="BFC9D9" w:sz="4"/>
              <w:left w:val="single" w:color="BFC9D9" w:sz="4"/>
              <w:bottom w:val="single" w:color="BFC9D9" w:sz="4"/>
              <w:right w:val="single" w:color="BFC9D9" w:sz="4"/>
            </w:tcBorders>
            <w:shd w:fill="EAF1FE" w:color="auto" w:val="clear"/>
            <w:tcMar>
              <w:top w:type="dxa" w:w="70"/>
              <w:left w:type="dxa" w:w="110"/>
              <w:bottom w:type="dxa" w:w="70"/>
              <w:right w:type="dxa" w:w="110"/>
            </w:tcMar>
            <w:vAlign w:val="top"/>
          </w:tcPr>
          <w:p>
            <w:pPr>
              <w:keepNext w:val="false"/>
              <w:spacing w:after="40" w:line="250"/>
              <w:jc w:val="both"/>
            </w:pPr>
            <w:r>
              <w:rPr>
                <w:rFonts w:ascii="Arial" w:cs="Arial" w:eastAsia="Arial" w:hAnsi="Arial"/>
                <w:b/>
                <w:bCs/>
              </w:rPr>
              <w:t xml:space="preserve">Comentarios del supervisor o del responsable del encargo</w:t>
            </w:r>
          </w:p>
          <w:p>
            <w:pPr>
              <w:keepNext w:val="false"/>
              <w:spacing w:after="40" w:line="250"/>
              <w:jc w:val="left"/>
            </w:pPr>
            <w:r>
              <w:rPr>
                <w:rFonts w:ascii="Arial" w:cs="Arial" w:eastAsia="Arial" w:hAnsi="Arial"/>
                <w:b/>
                <w:bCs/>
              </w:rPr>
              <w:t xml:space="preserve"> </w:t>
            </w:r>
          </w:p>
          <w:p>
            <w:pPr>
              <w:keepNext w:val="false"/>
              <w:spacing w:after="40" w:line="250"/>
              <w:jc w:val="left"/>
            </w:pPr>
            <w:r>
              <w:rPr>
                <w:rFonts w:ascii="Arial" w:cs="Arial" w:eastAsia="Arial" w:hAnsi="Arial"/>
                <w:b/>
                <w:bCs/>
              </w:rPr>
              <w:t xml:space="preserve"> </w:t>
            </w:r>
          </w:p>
        </w:tc>
      </w:tr>
    </w:tbl>
    <w:p>
      <w:pPr>
        <w:spacing w:after="6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Pr>
        <w:tc>
          <w:tcPr>
            <w:tcW w:type="dxa" w:w="9360"/>
            <w:tcBorders>
              <w:top w:val="single" w:color="BFC9D9" w:sz="4"/>
              <w:left w:val="single" w:color="BFC9D9" w:sz="4"/>
              <w:bottom w:val="single" w:color="BFC9D9" w:sz="4"/>
              <w:right w:val="single" w:color="BFC9D9" w:sz="4"/>
            </w:tcBorders>
            <w:shd w:fill="EAF1FE" w:color="auto" w:val="clear"/>
            <w:tcMar>
              <w:top w:type="dxa" w:w="70"/>
              <w:left w:type="dxa" w:w="110"/>
              <w:bottom w:type="dxa" w:w="70"/>
              <w:right w:type="dxa" w:w="110"/>
            </w:tcMar>
            <w:vAlign w:val="top"/>
          </w:tcPr>
          <w:p>
            <w:pPr>
              <w:keepNext w:val="false"/>
              <w:spacing w:after="40" w:line="250"/>
              <w:jc w:val="both"/>
            </w:pPr>
            <w:r>
              <w:rPr>
                <w:rFonts w:ascii="Arial" w:cs="Arial" w:eastAsia="Arial" w:hAnsi="Arial"/>
                <w:b/>
                <w:bCs/>
              </w:rPr>
              <w:t xml:space="preserve">Respuesta del auditor a los comentarios (con fecha)</w:t>
            </w:r>
          </w:p>
          <w:p>
            <w:pPr>
              <w:keepNext w:val="false"/>
              <w:spacing w:after="40" w:line="250"/>
              <w:jc w:val="left"/>
            </w:pPr>
            <w:r>
              <w:rPr>
                <w:rFonts w:ascii="Arial" w:cs="Arial" w:eastAsia="Arial" w:hAnsi="Arial"/>
                <w:b/>
                <w:bCs/>
              </w:rPr>
              <w:t xml:space="preserve"> </w:t>
            </w:r>
          </w:p>
          <w:p>
            <w:pPr>
              <w:keepNext w:val="false"/>
              <w:spacing w:after="40" w:line="250"/>
              <w:jc w:val="left"/>
            </w:pPr>
            <w:r>
              <w:rPr>
                <w:rFonts w:ascii="Arial" w:cs="Arial" w:eastAsia="Arial" w:hAnsi="Arial"/>
                <w:b/>
                <w:bCs/>
              </w:rPr>
              <w:t xml:space="preserve"> </w:t>
            </w:r>
          </w:p>
        </w:tc>
      </w:tr>
    </w:tbl>
    <w:p>
      <w:pPr>
        <w:spacing w:after="80"/>
      </w:pPr>
    </w:p>
    <w:sectPr>
      <w:headerReference w:type="default" r:id="rId6"/>
      <w:headerReference w:type="first" r:id="rId7"/>
      <w:footerReference w:type="default" r:id="rId8"/>
      <w:footerReference w:type="first" r:id="rId9"/>
      <w:pgSz w:w="12240" w:h="15840" w:orient="portrait"/>
      <w:pgMar w:top="1700" w:right="1440" w:bottom="1250" w:left="1440" w:header="560" w:footer="560" w:gutter="0"/>
      <w:pgNumType/>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BFC9D9" w:sz="6" w:space="4"/>
      </w:pBdr>
      <w:tabs>
        <w:tab w:val="right" w:pos="9360"/>
      </w:tabs>
    </w:pPr>
    <w:r>
      <w:rPr>
        <w:rFonts w:ascii="Arial" w:cs="Arial" w:eastAsia="Arial" w:hAnsi="Arial"/>
        <w:color w:val="6B7A8C"/>
        <w:sz w:val="16"/>
        <w:szCs w:val="16"/>
      </w:rPr>
      <w:t xml:space="preserve">Papeles de trabajo Assuran  ·  assuran.com.co</w:t>
    </w:r>
    <w:r>
      <w:rPr>
        <w:rFonts w:ascii="Arial" w:cs="Arial" w:eastAsia="Arial" w:hAnsi="Arial"/>
        <w:color w:val="6B7A8C"/>
        <w:sz w:val="16"/>
        <w:szCs w:val="16"/>
      </w:rPr>
      <w:t xml:space="preserve">	Página </w:t>
      <w:fldChar w:fldCharType="begin"/>
      <w:instrText xml:space="preserve">PAGE</w:instrText>
      <w:fldChar w:fldCharType="separate"/>
      <w:fldChar w:fldCharType="end"/>
      <w:t xml:space="preserve"> de </w:t>
      <w:fldChar w:fldCharType="begin"/>
      <w:instrText xml:space="preserve">NUMPAGES</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BFC9D9" w:sz="6" w:space="4"/>
      </w:pBdr>
      <w:tabs>
        <w:tab w:val="right" w:pos="9360"/>
      </w:tabs>
    </w:pPr>
    <w:r>
      <w:rPr>
        <w:rFonts w:ascii="Arial" w:cs="Arial" w:eastAsia="Arial" w:hAnsi="Arial"/>
        <w:color w:val="6B7A8C"/>
        <w:sz w:val="16"/>
        <w:szCs w:val="16"/>
      </w:rPr>
      <w:t xml:space="preserve">Papeles de trabajo Assuran  ·  assuran.com.co</w:t>
    </w:r>
    <w:r>
      <w:rPr>
        <w:rFonts w:ascii="Arial" w:cs="Arial" w:eastAsia="Arial" w:hAnsi="Arial"/>
        <w:color w:val="6B7A8C"/>
        <w:sz w:val="16"/>
        <w:szCs w:val="16"/>
      </w:rPr>
      <w:t xml:space="preserve">	Página </w:t>
      <w:fldChar w:fldCharType="begin"/>
      <w:instrText xml:space="preserve">PAGE</w:instrText>
      <w:fldChar w:fldCharType="separate"/>
      <w:fldChar w:fldCharType="end"/>
      <w:t xml:space="preserve"> de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BFC9D9" w:sz="6" w:space="4"/>
      </w:pBdr>
      <w:tabs>
        <w:tab w:val="right" w:pos="9360"/>
      </w:tabs>
      <w:spacing w:after="0"/>
    </w:pPr>
    <w:r>
      <w:drawing>
        <wp:inline distT="0" distB="0" distL="0" distR="0">
          <wp:extent cx="438150" cy="367733"/>
          <wp:effectExtent t="0" r="0" b="0" l="0"/>
          <wp:docPr id="2" name="logo" descr="Logo de Assuran" title="Logo Assur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438150" cy="367733"/>
                  </a:xfrm>
                  <a:prstGeom prst="rect">
                    <a:avLst/>
                  </a:prstGeom>
                </pic:spPr>
              </pic:pic>
            </a:graphicData>
          </a:graphic>
        </wp:inline>
      </w:drawing>
    </w:r>
    <w:r>
      <w:rPr>
        <w:rFonts w:ascii="Arial" w:cs="Arial" w:eastAsia="Arial" w:hAnsi="Arial"/>
        <w:b/>
        <w:bCs/>
        <w:color w:val="6B7A8C"/>
        <w:sz w:val="18"/>
        <w:szCs w:val="18"/>
      </w:rPr>
      <w:t xml:space="preserve">   PAPEL DE TRABAJO  ·  PT-EEFF-33  ·  Guía del informe de auditoría</w:t>
    </w:r>
    <w:r>
      <w:rPr>
        <w:rFonts w:ascii="Arial" w:cs="Arial" w:eastAsia="Arial" w:hAnsi="Arial"/>
        <w:color w:val="8A6A00"/>
        <w:sz w:val="18"/>
        <w:szCs w:val="18"/>
      </w:rPr>
      <w:t xml:space="preserve">	[Escriba el nombre de la firma]</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9360"/>
      </w:tabs>
      <w:spacing w:after="0"/>
    </w:pPr>
    <w:r>
      <w:drawing>
        <wp:inline distT="0" distB="0" distL="0" distR="0">
          <wp:extent cx="990600" cy="831396"/>
          <wp:effectExtent t="0" r="0" b="0" l="0"/>
          <wp:docPr id="1" name="logo" descr="Logo de Assuran" title="Logo Assur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990600" cy="831396"/>
                  </a:xfrm>
                  <a:prstGeom prst="rect">
                    <a:avLst/>
                  </a:prstGeom>
                </pic:spPr>
              </pic:pic>
            </a:graphicData>
          </a:graphic>
        </wp:inline>
      </w:drawing>
    </w:r>
    <w:r>
      <w:rPr>
        <w:rFonts w:ascii="Arial" w:cs="Arial" w:eastAsia="Arial" w:hAnsi="Arial"/>
        <w:b/>
        <w:bCs/>
        <w:color w:val="2872FA"/>
        <w:sz w:val="22"/>
        <w:szCs w:val="22"/>
      </w:rPr>
      <w:t xml:space="preserve">	PAPEL DE TRABAJO</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500" w:hanging="260"/>
      </w:pPr>
    </w:lvl>
  </w:abstractNum>
  <w:abstractNum w:abstractNumId="3" w15:restartNumberingAfterBreak="0">
    <w:multiLevelType w:val="hybridMultilevel"/>
    <w:lvl w:ilvl="0" w:tentative="1">
      <w:start w:val="1"/>
      <w:numFmt w:val="decimal"/>
      <w:lvlText w:val="%1."/>
      <w:lvlJc w:val="left"/>
      <w:pPr>
        <w:ind w:left="500" w:hanging="300"/>
      </w:pPr>
      <w:rPr>
        <w:b/>
        <w:bCs/>
        <w:color w:val="2872FA"/>
      </w:rPr>
    </w:lvl>
  </w:abstractNum>
  <w:abstractNum w:abstractNumId="4" w15:restartNumberingAfterBreak="0">
    <w:multiLevelType w:val="hybridMultilevel"/>
    <w:lvl w:ilvl="0" w:tentative="1">
      <w:start w:val="1"/>
      <w:numFmt w:val="decimal"/>
      <w:lvlText w:val="%1."/>
      <w:lvlJc w:val="left"/>
      <w:pPr>
        <w:ind w:left="500" w:hanging="300"/>
      </w:pPr>
      <w:rPr>
        <w:b/>
        <w:bCs/>
        <w:color w:val="2872FA"/>
      </w:rPr>
    </w:lvl>
  </w:abstractNum>
  <w:abstractNum w:abstractNumId="5" w15:restartNumberingAfterBreak="0">
    <w:multiLevelType w:val="hybridMultilevel"/>
    <w:lvl w:ilvl="0" w:tentative="1">
      <w:start w:val="1"/>
      <w:numFmt w:val="decimal"/>
      <w:lvlText w:val="%1."/>
      <w:lvlJc w:val="left"/>
      <w:pPr>
        <w:ind w:left="500" w:hanging="300"/>
      </w:pPr>
      <w:rPr>
        <w:b/>
        <w:bCs/>
        <w:color w:val="2872FA"/>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222B36"/>
        <w:sz w:val="24"/>
        <w:szCs w:val="24"/>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2872FA" w:sz="8" w:space="3"/>
      </w:pBdr>
      <w:spacing w:after="120" w:before="300"/>
      <w:outlineLvl w:val="0"/>
    </w:pPr>
    <w:rPr>
      <w:rFonts w:ascii="Arial" w:cs="Arial" w:eastAsia="Arial" w:hAnsi="Arial"/>
      <w:b/>
      <w:bCs/>
      <w:color w:val="1F2D3D"/>
      <w:sz w:val="28"/>
      <w:szCs w:val="28"/>
    </w:rPr>
  </w:style>
  <w:style w:type="paragraph" w:styleId="Heading2">
    <w:name w:val="Heading 2"/>
    <w:basedOn w:val="Normal"/>
    <w:next w:val="Normal"/>
    <w:qFormat/>
    <w:pPr>
      <w:spacing w:after="80" w:before="200"/>
      <w:outlineLvl w:val="1"/>
    </w:pPr>
    <w:rPr>
      <w:rFonts w:ascii="Arial" w:cs="Arial" w:eastAsia="Arial" w:hAnsi="Arial"/>
      <w:b/>
      <w:bCs/>
      <w:color w:val="2872FA"/>
      <w:sz w:val="24"/>
      <w:szCs w:val="24"/>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theme" Target="theme/theme1.xm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6054dc1f0e5a37429f112081915dc881b801dbff.png"/></Relationships>
</file>

<file path=word/_rels/header2.xml.rels><?xml version="1.0" encoding="UTF-8"?><Relationships xmlns="http://schemas.openxmlformats.org/package/2006/relationships"><Relationship Id="rId0" Type="http://schemas.openxmlformats.org/officeDocument/2006/relationships/image" Target="media/6054dc1f0e5a37429f112081915dc881b801dbff.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Guía del informe de auditoría — PT-EEFF-33</dc:title>
  <dc:creator>Assuran</dc:creator>
  <dc:description>Elementos del informe del auditor, requisitos previos y párrafos adicionales (NIA 700, 705, 706, 570, 720; Código de Comercio arts. 208 y 209)</dc:description>
  <cp:lastModifiedBy>Un-named</cp:lastModifiedBy>
  <cp:revision>1</cp:revision>
  <dcterms:created xsi:type="dcterms:W3CDTF">2026-11-03T00:43:05.330Z</dcterms:created>
  <dcterms:modified xsi:type="dcterms:W3CDTF">2026-11-03T00:43:05.330Z</dcterms:modified>
</cp:coreProperties>
</file>

<file path=docProps/custom.xml><?xml version="1.0" encoding="utf-8"?>
<Properties xmlns="http://schemas.openxmlformats.org/officeDocument/2006/custom-properties" xmlns:vt="http://schemas.openxmlformats.org/officeDocument/2006/docPropsVTypes"/>
</file>