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200"/>
      </w:pPr>
      <w:r>
        <w:rPr>
          <w:rFonts w:ascii="Consolas" w:cs="Consolas" w:eastAsia="Consolas" w:hAnsi="Consolas"/>
          <w:b/>
          <w:bCs/>
          <w:color w:val="6B7A8C"/>
          <w:sz w:val="20"/>
          <w:szCs w:val="20"/>
        </w:rPr>
        <w:t xml:space="preserve">PT-EEFF-31</w:t>
      </w:r>
    </w:p>
    <w:p>
      <w:pPr>
        <w:spacing w:after="60"/>
      </w:pPr>
      <w:r>
        <w:rPr>
          <w:rFonts w:ascii="Arial" w:cs="Arial" w:eastAsia="Arial" w:hAnsi="Arial"/>
          <w:b/>
          <w:bCs/>
          <w:color w:val="1F2D3D"/>
          <w:sz w:val="52"/>
          <w:szCs w:val="52"/>
        </w:rPr>
        <w:t xml:space="preserve">Comunicación de deficiencias y a los encargados del gobierno</w:t>
      </w:r>
    </w:p>
    <w:p>
      <w:pPr>
        <w:spacing w:after="160"/>
      </w:pPr>
      <w:r>
        <w:rPr>
          <w:rFonts w:ascii="Arial" w:cs="Arial" w:eastAsia="Arial" w:hAnsi="Arial"/>
          <w:color w:val="2872FA"/>
          <w:sz w:val="24"/>
          <w:szCs w:val="24"/>
        </w:rPr>
        <w:t xml:space="preserve">Deficiencias de control interno, incorrecciones y asuntos de la auditoría (NIA 265 y 260)</w:t>
      </w:r>
    </w:p>
    <w:p>
      <w:pPr>
        <w:spacing w:after="140" w:line="264"/>
        <w:jc w:val="both"/>
      </w:pPr>
      <w:r>
        <w:rPr>
          <w:rFonts w:ascii="Arial" w:cs="Arial" w:eastAsia="Arial" w:hAnsi="Arial"/>
          <w:color w:val="8A6A00"/>
          <w:shd w:fill="FFF4CC" w:color="auto" w:val="clear"/>
        </w:rPr>
        <w:t xml:space="preserve">[Comunique por escrito, de forma oportuna, las deficiencias significativas de control interno y los asuntos de la auditoría a quienes gobiernan la entidad (junta directiva, junta de socios, asamblea o, si no existen, la administración). El revisor fiscal tiene además el deber de dar oportuna cuenta a la asamblea, la junta de socios, la junta directiva o el gerente de las irregularidades que ocurran en el funcionamiento de la sociedad (Código de Comercio, art. 207, num. 3). Una deficiencia es significativa cuando, sola o con otras, es de tal importancia que merece la atención de los encargados del gobierno.]</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3738"/>
        <w:gridCol w:w="9222"/>
      </w:tblGrid>
      <w:tr>
        <w:trPr>
          <w:cantSplit/>
        </w:trPr>
        <w:tc>
          <w:tcPr>
            <w:tcW w:type="dxa" w:w="3738"/>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Cliente</w:t>
            </w:r>
          </w:p>
        </w:tc>
        <w:tc>
          <w:tcPr>
            <w:tcW w:type="dxa" w:w="9222"/>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[Escriba el nombre o razón social]</w:t>
            </w:r>
          </w:p>
        </w:tc>
      </w:tr>
      <w:tr>
        <w:trPr>
          <w:cantSplit/>
        </w:trPr>
        <w:tc>
          <w:tcPr>
            <w:tcW w:type="dxa" w:w="3738"/>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NIT</w:t>
            </w:r>
          </w:p>
        </w:tc>
        <w:tc>
          <w:tcPr>
            <w:tcW w:type="dxa" w:w="9222"/>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[Escriba el NIT]</w:t>
            </w:r>
          </w:p>
        </w:tc>
      </w:tr>
      <w:tr>
        <w:trPr>
          <w:cantSplit/>
        </w:trPr>
        <w:tc>
          <w:tcPr>
            <w:tcW w:type="dxa" w:w="3738"/>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Periodo auditado</w:t>
            </w:r>
          </w:p>
        </w:tc>
        <w:tc>
          <w:tcPr>
            <w:tcW w:type="dxa" w:w="9222"/>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color w:val="8A6A00"/>
                <w:shd w:fill="FFF4CC" w:color="auto" w:val="clear"/>
              </w:rPr>
              <w:t xml:space="preserve">[Escriba el periodo, por ejemplo 1 de enero a 31 de diciembre de 2026]</w:t>
            </w:r>
          </w:p>
        </w:tc>
      </w:tr>
      <w:tr>
        <w:trPr>
          <w:cantSplit/>
        </w:trPr>
        <w:tc>
          <w:tcPr>
            <w:tcW w:type="dxa" w:w="3738"/>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Preparó (nombre y fecha)</w:t>
            </w:r>
          </w:p>
        </w:tc>
        <w:tc>
          <w:tcPr>
            <w:tcW w:type="dxa" w:w="9222"/>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[Escriba]</w:t>
            </w:r>
          </w:p>
        </w:tc>
      </w:tr>
      <w:tr>
        <w:trPr>
          <w:cantSplit/>
        </w:trPr>
        <w:tc>
          <w:tcPr>
            <w:tcW w:type="dxa" w:w="3738"/>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Revisó (nombre y fecha)</w:t>
            </w:r>
          </w:p>
        </w:tc>
        <w:tc>
          <w:tcPr>
            <w:tcW w:type="dxa" w:w="9222"/>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[Escriba]</w:t>
            </w:r>
          </w:p>
        </w:tc>
      </w:tr>
      <w:tr>
        <w:trPr>
          <w:cantSplit/>
        </w:trPr>
        <w:tc>
          <w:tcPr>
            <w:tcW w:type="dxa" w:w="3738"/>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Destinatarios (encargados del gobierno)</w:t>
            </w:r>
          </w:p>
        </w:tc>
        <w:tc>
          <w:tcPr>
            <w:tcW w:type="dxa" w:w="9222"/>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[Escriba]</w:t>
            </w:r>
          </w:p>
        </w:tc>
      </w:tr>
      <w:tr>
        <w:trPr>
          <w:cantSplit/>
        </w:trPr>
        <w:tc>
          <w:tcPr>
            <w:tcW w:type="dxa" w:w="3738"/>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Fecha de la comunicación</w:t>
            </w:r>
          </w:p>
        </w:tc>
        <w:tc>
          <w:tcPr>
            <w:tcW w:type="dxa" w:w="9222"/>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[Escriba]</w:t>
            </w:r>
          </w:p>
        </w:tc>
      </w:tr>
    </w:tbl>
    <w:p>
      <w:pPr>
        <w:pStyle w:val="Heading2"/>
        <w:keepNext/>
      </w:pPr>
      <w:r>
        <w:rPr>
          <w:rFonts w:ascii="Arial" w:cs="Arial" w:eastAsia="Arial" w:hAnsi="Arial"/>
        </w:rPr>
        <w:t xml:space="preserve">I. Registro de deficiencias de control interno</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648"/>
        <w:gridCol w:w="2592"/>
        <w:gridCol w:w="1555"/>
        <w:gridCol w:w="1555"/>
        <w:gridCol w:w="1685"/>
        <w:gridCol w:w="1814"/>
        <w:gridCol w:w="1814"/>
        <w:gridCol w:w="1297"/>
      </w:tblGrid>
      <w:tr>
        <w:trPr>
          <w:cantSplit/>
          <w:tblHeader/>
        </w:trPr>
        <w:tc>
          <w:tcPr>
            <w:tcW w:type="dxa" w:w="648"/>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18"/>
                <w:szCs w:val="18"/>
              </w:rPr>
              <w:t xml:space="preserve">N.º</w:t>
            </w:r>
          </w:p>
        </w:tc>
        <w:tc>
          <w:tcPr>
            <w:tcW w:type="dxa" w:w="2592"/>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18"/>
                <w:szCs w:val="18"/>
              </w:rPr>
              <w:t xml:space="preserve">Descripción de la deficiencia</w:t>
            </w:r>
          </w:p>
        </w:tc>
        <w:tc>
          <w:tcPr>
            <w:tcW w:type="dxa" w:w="1555"/>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18"/>
                <w:szCs w:val="18"/>
              </w:rPr>
              <w:t xml:space="preserve">Proceso o cuenta</w:t>
            </w:r>
          </w:p>
        </w:tc>
        <w:tc>
          <w:tcPr>
            <w:tcW w:type="dxa" w:w="1555"/>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18"/>
                <w:szCs w:val="18"/>
              </w:rPr>
              <w:t xml:space="preserve">¿Significativa? (Sí o No)</w:t>
            </w:r>
          </w:p>
        </w:tc>
        <w:tc>
          <w:tcPr>
            <w:tcW w:type="dxa" w:w="1685"/>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18"/>
                <w:szCs w:val="18"/>
              </w:rPr>
              <w:t xml:space="preserve">Efecto posible</w:t>
            </w:r>
          </w:p>
        </w:tc>
        <w:tc>
          <w:tcPr>
            <w:tcW w:type="dxa" w:w="1814"/>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18"/>
                <w:szCs w:val="18"/>
              </w:rPr>
              <w:t xml:space="preserve">Recomendación</w:t>
            </w:r>
          </w:p>
        </w:tc>
        <w:tc>
          <w:tcPr>
            <w:tcW w:type="dxa" w:w="1814"/>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18"/>
                <w:szCs w:val="18"/>
              </w:rPr>
              <w:t xml:space="preserve">Respuesta de la administración y plazo</w:t>
            </w:r>
          </w:p>
        </w:tc>
        <w:tc>
          <w:tcPr>
            <w:tcW w:type="dxa" w:w="1297"/>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18"/>
                <w:szCs w:val="18"/>
              </w:rPr>
              <w:t xml:space="preserve">Ref. papel</w:t>
            </w:r>
          </w:p>
        </w:tc>
      </w:tr>
      <w:tr>
        <w:trPr>
          <w:cantSplit/>
        </w:trPr>
        <w:tc>
          <w:tcPr>
            <w:tcW w:type="dxa" w:w="648"/>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color w:val="8A6A00"/>
                <w:shd w:fill="FFF4CC" w:color="auto" w:val="clear"/>
              </w:rPr>
              <w:t xml:space="preserve">[Ej.]</w:t>
            </w:r>
          </w:p>
        </w:tc>
        <w:tc>
          <w:tcPr>
            <w:tcW w:type="dxa" w:w="2592"/>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No hay conciliación mensual de cuentas bancarias</w:t>
            </w:r>
          </w:p>
        </w:tc>
        <w:tc>
          <w:tcPr>
            <w:tcW w:type="dxa" w:w="1555"/>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Tesorería</w:t>
            </w:r>
          </w:p>
        </w:tc>
        <w:tc>
          <w:tcPr>
            <w:tcW w:type="dxa" w:w="1555"/>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Sí</w:t>
            </w:r>
          </w:p>
        </w:tc>
        <w:tc>
          <w:tcPr>
            <w:tcW w:type="dxa" w:w="1685"/>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Fraude o errores no detectados</w:t>
            </w:r>
          </w:p>
        </w:tc>
        <w:tc>
          <w:tcPr>
            <w:tcW w:type="dxa" w:w="181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Conciliar mensualmente con revisión independiente</w:t>
            </w:r>
          </w:p>
        </w:tc>
        <w:tc>
          <w:tcPr>
            <w:tcW w:type="dxa" w:w="181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[Escriba]</w:t>
            </w:r>
          </w:p>
        </w:tc>
        <w:tc>
          <w:tcPr>
            <w:tcW w:type="dxa" w:w="1297"/>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PT-21</w:t>
            </w:r>
          </w:p>
        </w:tc>
      </w:tr>
      <w:tr>
        <w:trPr>
          <w:cantSplit/>
        </w:trPr>
        <w:tc>
          <w:tcPr>
            <w:tcW w:type="dxa" w:w="648"/>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 </w:t>
            </w:r>
          </w:p>
        </w:tc>
        <w:tc>
          <w:tcPr>
            <w:tcW w:type="dxa" w:w="2592"/>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555"/>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555"/>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685"/>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814"/>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814"/>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297"/>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48"/>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 </w:t>
            </w:r>
          </w:p>
        </w:tc>
        <w:tc>
          <w:tcPr>
            <w:tcW w:type="dxa" w:w="2592"/>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555"/>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555"/>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685"/>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81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81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297"/>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48"/>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 </w:t>
            </w:r>
          </w:p>
        </w:tc>
        <w:tc>
          <w:tcPr>
            <w:tcW w:type="dxa" w:w="2592"/>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555"/>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555"/>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685"/>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814"/>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814"/>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297"/>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48"/>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 </w:t>
            </w:r>
          </w:p>
        </w:tc>
        <w:tc>
          <w:tcPr>
            <w:tcW w:type="dxa" w:w="2592"/>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555"/>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555"/>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685"/>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81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81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297"/>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48"/>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 </w:t>
            </w:r>
          </w:p>
        </w:tc>
        <w:tc>
          <w:tcPr>
            <w:tcW w:type="dxa" w:w="2592"/>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555"/>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555"/>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685"/>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814"/>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814"/>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297"/>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48"/>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 </w:t>
            </w:r>
          </w:p>
        </w:tc>
        <w:tc>
          <w:tcPr>
            <w:tcW w:type="dxa" w:w="2592"/>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555"/>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555"/>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685"/>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81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81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297"/>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48"/>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 </w:t>
            </w:r>
          </w:p>
        </w:tc>
        <w:tc>
          <w:tcPr>
            <w:tcW w:type="dxa" w:w="2592"/>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555"/>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555"/>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685"/>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814"/>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814"/>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297"/>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48"/>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 </w:t>
            </w:r>
          </w:p>
        </w:tc>
        <w:tc>
          <w:tcPr>
            <w:tcW w:type="dxa" w:w="2592"/>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555"/>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555"/>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685"/>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81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81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297"/>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48"/>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 </w:t>
            </w:r>
          </w:p>
        </w:tc>
        <w:tc>
          <w:tcPr>
            <w:tcW w:type="dxa" w:w="2592"/>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555"/>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555"/>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685"/>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814"/>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814"/>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297"/>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bl>
    <w:p>
      <w:pPr>
        <w:spacing w:after="100" w:line="264"/>
        <w:jc w:val="both"/>
      </w:pPr>
      <w:r>
        <w:rPr>
          <w:rFonts w:ascii="Arial" w:cs="Arial" w:eastAsia="Arial" w:hAnsi="Arial"/>
        </w:rPr>
        <w:t xml:space="preserve">Fuentes: pruebas de recorrido (PT-EEFF-10), evaluación del control interno (PT-EEFF-11), pruebas de controles (PT-EEFF-21), matriz de riesgos (PT-EEFF-14) y hallazgos de la ejecución.</w:t>
      </w:r>
    </w:p>
    <w:p>
      <w:pPr>
        <w:pStyle w:val="Heading2"/>
        <w:keepNext/>
      </w:pPr>
      <w:r>
        <w:rPr>
          <w:rFonts w:ascii="Arial" w:cs="Arial" w:eastAsia="Arial" w:hAnsi="Arial"/>
        </w:rPr>
        <w:t xml:space="preserve">II. Asuntos de la comunicación con los encargados del gobierno (NIA 260)</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648"/>
        <w:gridCol w:w="7128"/>
        <w:gridCol w:w="2592"/>
        <w:gridCol w:w="2592"/>
      </w:tblGrid>
      <w:tr>
        <w:trPr>
          <w:cantSplit/>
          <w:tblHeader/>
        </w:trPr>
        <w:tc>
          <w:tcPr>
            <w:tcW w:type="dxa" w:w="648"/>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18"/>
                <w:szCs w:val="18"/>
              </w:rPr>
              <w:t xml:space="preserve">N.º</w:t>
            </w:r>
          </w:p>
        </w:tc>
        <w:tc>
          <w:tcPr>
            <w:tcW w:type="dxa" w:w="7128"/>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18"/>
                <w:szCs w:val="18"/>
              </w:rPr>
              <w:t xml:space="preserve">Asunto</w:t>
            </w:r>
          </w:p>
        </w:tc>
        <w:tc>
          <w:tcPr>
            <w:tcW w:type="dxa" w:w="2592"/>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18"/>
                <w:szCs w:val="18"/>
              </w:rPr>
              <w:t xml:space="preserve">¿Comunicado? (Sí o No)</w:t>
            </w:r>
          </w:p>
        </w:tc>
        <w:tc>
          <w:tcPr>
            <w:tcW w:type="dxa" w:w="2592"/>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18"/>
                <w:szCs w:val="18"/>
              </w:rPr>
              <w:t xml:space="preserve">Fecha y medio</w:t>
            </w:r>
          </w:p>
        </w:tc>
      </w:tr>
      <w:tr>
        <w:trPr>
          <w:cantSplit/>
        </w:trPr>
        <w:tc>
          <w:tcPr>
            <w:tcW w:type="dxa" w:w="648"/>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1</w:t>
            </w:r>
          </w:p>
        </w:tc>
        <w:tc>
          <w:tcPr>
            <w:tcW w:type="dxa" w:w="7128"/>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Responsabilidades del auditor, de la administración y del gobierno frente a los estados financieros.</w:t>
            </w:r>
          </w:p>
        </w:tc>
        <w:tc>
          <w:tcPr>
            <w:tcW w:type="dxa" w:w="2592"/>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592"/>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48"/>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2</w:t>
            </w:r>
          </w:p>
        </w:tc>
        <w:tc>
          <w:tcPr>
            <w:tcW w:type="dxa" w:w="7128"/>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Alcance y oportunidad planeados, riesgos significativos y materialidad (comunicado en la planeación, PT-EEFF-16).</w:t>
            </w:r>
          </w:p>
        </w:tc>
        <w:tc>
          <w:tcPr>
            <w:tcW w:type="dxa" w:w="2592"/>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592"/>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48"/>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3</w:t>
            </w:r>
          </w:p>
        </w:tc>
        <w:tc>
          <w:tcPr>
            <w:tcW w:type="dxa" w:w="7128"/>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Hallazgos significativos: prácticas contables, estimaciones, revelaciones, dificultades encontradas, desacuerdos con la administración.</w:t>
            </w:r>
          </w:p>
        </w:tc>
        <w:tc>
          <w:tcPr>
            <w:tcW w:type="dxa" w:w="2592"/>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592"/>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48"/>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4</w:t>
            </w:r>
          </w:p>
        </w:tc>
        <w:tc>
          <w:tcPr>
            <w:tcW w:type="dxa" w:w="7128"/>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Incorrecciones corregidas y no corregidas, y la solicitud de corrección.</w:t>
            </w:r>
          </w:p>
        </w:tc>
        <w:tc>
          <w:tcPr>
            <w:tcW w:type="dxa" w:w="2592"/>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592"/>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48"/>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5</w:t>
            </w:r>
          </w:p>
        </w:tc>
        <w:tc>
          <w:tcPr>
            <w:tcW w:type="dxa" w:w="7128"/>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Deficiencias significativas del control interno.</w:t>
            </w:r>
          </w:p>
        </w:tc>
        <w:tc>
          <w:tcPr>
            <w:tcW w:type="dxa" w:w="2592"/>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592"/>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48"/>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6</w:t>
            </w:r>
          </w:p>
        </w:tc>
        <w:tc>
          <w:tcPr>
            <w:tcW w:type="dxa" w:w="7128"/>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Fraude o sospechas de fraude, incumplimiento de leyes y partes vinculadas significativas.</w:t>
            </w:r>
          </w:p>
        </w:tc>
        <w:tc>
          <w:tcPr>
            <w:tcW w:type="dxa" w:w="2592"/>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592"/>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48"/>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7</w:t>
            </w:r>
          </w:p>
        </w:tc>
        <w:tc>
          <w:tcPr>
            <w:tcW w:type="dxa" w:w="7128"/>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Hechos posteriores, empresa en funcionamiento e incertidumbres materiales.</w:t>
            </w:r>
          </w:p>
        </w:tc>
        <w:tc>
          <w:tcPr>
            <w:tcW w:type="dxa" w:w="2592"/>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592"/>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48"/>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8</w:t>
            </w:r>
          </w:p>
        </w:tc>
        <w:tc>
          <w:tcPr>
            <w:tcW w:type="dxa" w:w="7128"/>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Tipo de opinión previsto y los párrafos de énfasis u otros asuntos.</w:t>
            </w:r>
          </w:p>
        </w:tc>
        <w:tc>
          <w:tcPr>
            <w:tcW w:type="dxa" w:w="2592"/>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592"/>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48"/>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9</w:t>
            </w:r>
          </w:p>
        </w:tc>
        <w:tc>
          <w:tcPr>
            <w:tcW w:type="dxa" w:w="7128"/>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Independencia: relaciones y servicios que puedan afectarla y las salvaguardas (declaración en PT-CALIDAD-05).</w:t>
            </w:r>
          </w:p>
        </w:tc>
        <w:tc>
          <w:tcPr>
            <w:tcW w:type="dxa" w:w="2592"/>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592"/>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48"/>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10</w:t>
            </w:r>
          </w:p>
        </w:tc>
        <w:tc>
          <w:tcPr>
            <w:tcW w:type="dxa" w:w="7128"/>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Manifestaciones escritas que se pidieron (PT-EEFF-30).</w:t>
            </w:r>
          </w:p>
        </w:tc>
        <w:tc>
          <w:tcPr>
            <w:tcW w:type="dxa" w:w="2592"/>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592"/>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bl>
    <w:p>
      <w:pPr>
        <w:spacing w:after="100"/>
      </w:pPr>
    </w:p>
    <w:p>
      <w:pPr>
        <w:pStyle w:val="Heading2"/>
        <w:keepNext/>
      </w:pPr>
      <w:r>
        <w:rPr>
          <w:rFonts w:ascii="Arial" w:cs="Arial" w:eastAsia="Arial" w:hAnsi="Arial"/>
        </w:rPr>
        <w:t xml:space="preserve">III. Modelo de carta de comunicación</w:t>
      </w:r>
    </w:p>
    <w:p>
      <w:pPr>
        <w:spacing w:after="80" w:line="264"/>
        <w:jc w:val="both"/>
      </w:pPr>
      <w:r>
        <w:rPr>
          <w:rFonts w:ascii="Arial" w:cs="Arial" w:eastAsia="Arial" w:hAnsi="Arial"/>
          <w:color w:val="8A6A00"/>
          <w:shd w:fill="FFF4CC" w:color="auto" w:val="clear"/>
        </w:rPr>
        <w:t xml:space="preserve">[Ciudad y fecha]</w:t>
      </w:r>
    </w:p>
    <w:p>
      <w:pPr>
        <w:spacing w:after="100" w:line="264"/>
        <w:jc w:val="both"/>
      </w:pPr>
      <w:r>
        <w:rPr>
          <w:rFonts w:ascii="Arial" w:cs="Arial" w:eastAsia="Arial" w:hAnsi="Arial"/>
        </w:rPr>
        <w:t xml:space="preserve">Señores </w:t>
      </w:r>
      <w:r>
        <w:rPr>
          <w:rFonts w:ascii="Arial" w:cs="Arial" w:eastAsia="Arial" w:hAnsi="Arial"/>
          <w:color w:val="8A6A00"/>
          <w:shd w:fill="FFF4CC" w:color="auto" w:val="clear"/>
        </w:rPr>
        <w:t xml:space="preserve">[Junta directiva, junta de socios, asamblea o administración]</w:t>
      </w:r>
      <w:r>
        <w:rPr>
          <w:rFonts w:ascii="Arial" w:cs="Arial" w:eastAsia="Arial" w:hAnsi="Arial"/>
        </w:rPr>
        <w:t xml:space="preserve"> de </w:t>
      </w:r>
      <w:r>
        <w:rPr>
          <w:rFonts w:ascii="Arial" w:cs="Arial" w:eastAsia="Arial" w:hAnsi="Arial"/>
          <w:color w:val="8A6A00"/>
          <w:shd w:fill="FFF4CC" w:color="auto" w:val="clear"/>
        </w:rPr>
        <w:t xml:space="preserve">[Entidad]</w:t>
      </w:r>
    </w:p>
    <w:p>
      <w:pPr>
        <w:spacing w:after="100" w:line="264"/>
        <w:jc w:val="both"/>
      </w:pPr>
      <w:r>
        <w:rPr>
          <w:rFonts w:ascii="Arial" w:cs="Arial" w:eastAsia="Arial" w:hAnsi="Arial"/>
          <w:b/>
          <w:bCs/>
        </w:rPr>
        <w:t xml:space="preserve">Asunto: Comunicación de deficiencias de control interno y asuntos de la auditoría de </w:t>
      </w:r>
      <w:r>
        <w:rPr>
          <w:rFonts w:ascii="Arial" w:cs="Arial" w:eastAsia="Arial" w:hAnsi="Arial"/>
          <w:b/>
          <w:bCs/>
          <w:color w:val="8A6A00"/>
          <w:shd w:fill="FFF4CC" w:color="auto" w:val="clear"/>
        </w:rPr>
        <w:t xml:space="preserve">[periodo]</w:t>
      </w:r>
    </w:p>
    <w:p>
      <w:pPr>
        <w:spacing w:after="100" w:line="264"/>
        <w:jc w:val="both"/>
      </w:pPr>
      <w:r>
        <w:rPr>
          <w:rFonts w:ascii="Arial" w:cs="Arial" w:eastAsia="Arial" w:hAnsi="Arial"/>
        </w:rPr>
        <w:t xml:space="preserve">En desarrollo de la auditoría de los estados financieros de </w:t>
      </w:r>
      <w:r>
        <w:rPr>
          <w:rFonts w:ascii="Arial" w:cs="Arial" w:eastAsia="Arial" w:hAnsi="Arial"/>
          <w:color w:val="8A6A00"/>
          <w:shd w:fill="FFF4CC" w:color="auto" w:val="clear"/>
        </w:rPr>
        <w:t xml:space="preserve">[Entidad]</w:t>
      </w:r>
      <w:r>
        <w:rPr>
          <w:rFonts w:ascii="Arial" w:cs="Arial" w:eastAsia="Arial" w:hAnsi="Arial"/>
        </w:rPr>
        <w:t xml:space="preserve"> por el periodo terminado el </w:t>
      </w:r>
      <w:r>
        <w:rPr>
          <w:rFonts w:ascii="Arial" w:cs="Arial" w:eastAsia="Arial" w:hAnsi="Arial"/>
          <w:color w:val="8A6A00"/>
          <w:shd w:fill="FFF4CC" w:color="auto" w:val="clear"/>
        </w:rPr>
        <w:t xml:space="preserve">[fecha]</w:t>
      </w:r>
      <w:r>
        <w:rPr>
          <w:rFonts w:ascii="Arial" w:cs="Arial" w:eastAsia="Arial" w:hAnsi="Arial"/>
        </w:rPr>
        <w:t xml:space="preserve">, identificamos las siguientes deficiencias de control interno que consideramos significativas, junto con nuestras recomendaciones. Nuestra auditoría tuvo por objeto expresar una opinión sobre los estados financieros, no evaluar el control interno en su totalidad; por eso las deficiencias señaladas pueden no ser todas las existentes. </w:t>
      </w:r>
      <w:r>
        <w:rPr>
          <w:rFonts w:ascii="Arial" w:cs="Arial" w:eastAsia="Arial" w:hAnsi="Arial"/>
          <w:color w:val="8A6A00"/>
          <w:shd w:fill="FFF4CC" w:color="auto" w:val="clear"/>
        </w:rPr>
        <w:t xml:space="preserve">[Siguen las deficiencias, con su efecto posible y la recomendación; indique las incorrecciones corregidas y no corregidas; y confirme su independencia.]</w:t>
      </w:r>
      <w:r>
        <w:rPr>
          <w:rFonts w:ascii="Arial" w:cs="Arial" w:eastAsia="Arial" w:hAnsi="Arial"/>
        </w:rPr>
        <w:t xml:space="preserve"> Esta comunicación es solo para los encargados del gobierno y la administración de la entidad y no debe entregarse a terceros sin nuestra autorización.</w:t>
      </w:r>
    </w:p>
    <w:p>
      <w:pPr>
        <w:spacing w:after="100" w:line="264"/>
        <w:jc w:val="both"/>
      </w:pPr>
      <w:r>
        <w:rPr>
          <w:rFonts w:ascii="Arial" w:cs="Arial" w:eastAsia="Arial" w:hAnsi="Arial"/>
        </w:rPr>
        <w:t xml:space="preserve">Atentamente, </w:t>
      </w:r>
      <w:r>
        <w:rPr>
          <w:rFonts w:ascii="Arial" w:cs="Arial" w:eastAsia="Arial" w:hAnsi="Arial"/>
          <w:color w:val="8A6A00"/>
          <w:shd w:fill="FFF4CC" w:color="auto" w:val="clear"/>
        </w:rPr>
        <w:t xml:space="preserve">[Nombre, firma y tarjeta profesional]</w:t>
      </w:r>
    </w:p>
    <w:p>
      <w:pPr>
        <w:pStyle w:val="Heading2"/>
        <w:keepNext/>
      </w:pPr>
      <w:r>
        <w:rPr>
          <w:rFonts w:ascii="Arial" w:cs="Arial" w:eastAsia="Arial" w:hAnsi="Arial"/>
        </w:rPr>
        <w:t xml:space="preserve">IV. Seguimiento</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12960"/>
      </w:tblGrid>
      <w:tr>
        <w:trPr>
          <w:cantSplit/>
        </w:trPr>
        <w:tc>
          <w:tcPr>
            <w:tcW w:type="dxa" w:w="129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Respuesta de la administración, plan de acción y asuntos que quedan para el seguimiento de la próxima auditoría (PT-EEFF-08)</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pStyle w:val="Heading2"/>
        <w:keepNext/>
      </w:pPr>
      <w:r>
        <w:rPr>
          <w:rFonts w:ascii="Arial" w:cs="Arial" w:eastAsia="Arial" w:hAnsi="Arial"/>
        </w:rPr>
        <w:t xml:space="preserve">Revisión</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12960"/>
      </w:tblGrid>
      <w:tr>
        <w:trPr>
          <w:cantSplit/>
        </w:trPr>
        <w:tc>
          <w:tcPr>
            <w:tcW w:type="dxa" w:w="129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Comentarios del supervisor o del responsable del encargo</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60"/>
      </w:pP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12960"/>
      </w:tblGrid>
      <w:tr>
        <w:trPr>
          <w:cantSplit/>
        </w:trPr>
        <w:tc>
          <w:tcPr>
            <w:tcW w:type="dxa" w:w="129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Respuesta del auditor a los comentarios (con fecha)</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80"/>
      </w:pPr>
    </w:p>
    <w:sectPr>
      <w:headerReference w:type="default" r:id="rId6"/>
      <w:headerReference w:type="first" r:id="rId7"/>
      <w:footerReference w:type="default" r:id="rId8"/>
      <w:footerReference w:type="first" r:id="rId9"/>
      <w:pgSz w:w="15840" w:h="12240" w:orient="landscape"/>
      <w:pgMar w:top="1700" w:right="1440" w:bottom="1250" w:left="1440" w:header="560" w:footer="56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129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129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C9D9" w:sz="6" w:space="4"/>
      </w:pBdr>
      <w:tabs>
        <w:tab w:val="right" w:pos="12960"/>
      </w:tabs>
      <w:spacing w:after="0"/>
    </w:pPr>
    <w:r>
      <w:drawing>
        <wp:inline distT="0" distB="0" distL="0" distR="0">
          <wp:extent cx="438150" cy="367733"/>
          <wp:effectExtent t="0" r="0" b="0" l="0"/>
          <wp:docPr id="2"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38150" cy="367733"/>
                  </a:xfrm>
                  <a:prstGeom prst="rect">
                    <a:avLst/>
                  </a:prstGeom>
                </pic:spPr>
              </pic:pic>
            </a:graphicData>
          </a:graphic>
        </wp:inline>
      </w:drawing>
    </w:r>
    <w:r>
      <w:rPr>
        <w:rFonts w:ascii="Arial" w:cs="Arial" w:eastAsia="Arial" w:hAnsi="Arial"/>
        <w:b/>
        <w:bCs/>
        <w:color w:val="6B7A8C"/>
        <w:sz w:val="18"/>
        <w:szCs w:val="18"/>
      </w:rPr>
      <w:t xml:space="preserve">   PAPEL DE TRABAJO  ·  PT-EEFF-31  ·  Comunicación de deficiencias y a los encargados del gobierno</w:t>
    </w:r>
    <w:r>
      <w:rPr>
        <w:rFonts w:ascii="Arial" w:cs="Arial" w:eastAsia="Arial" w:hAnsi="Arial"/>
        <w:color w:val="8A6A00"/>
        <w:sz w:val="18"/>
        <w:szCs w:val="18"/>
      </w:rPr>
      <w:t xml:space="preserve">	[Escriba el nombre de la firma]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2960"/>
      </w:tabs>
      <w:spacing w:after="0"/>
    </w:pPr>
    <w:r>
      <w:drawing>
        <wp:inline distT="0" distB="0" distL="0" distR="0">
          <wp:extent cx="990600" cy="831396"/>
          <wp:effectExtent t="0" r="0" b="0" l="0"/>
          <wp:docPr id="1"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831396"/>
                  </a:xfrm>
                  <a:prstGeom prst="rect">
                    <a:avLst/>
                  </a:prstGeom>
                </pic:spPr>
              </pic:pic>
            </a:graphicData>
          </a:graphic>
        </wp:inline>
      </w:drawing>
    </w:r>
    <w:r>
      <w:rPr>
        <w:rFonts w:ascii="Arial" w:cs="Arial" w:eastAsia="Arial" w:hAnsi="Arial"/>
        <w:b/>
        <w:bCs/>
        <w:color w:val="2872FA"/>
        <w:sz w:val="22"/>
        <w:szCs w:val="22"/>
      </w:rPr>
      <w:t xml:space="preserve">	PAPEL DE TRABAJO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lvl>
  </w:abstractNum>
  <w:abstractNum w:abstractNumId="3" w15:restartNumberingAfterBreak="0">
    <w:multiLevelType w:val="hybridMultilevel"/>
    <w:lvl w:ilvl="0" w:tentative="1">
      <w:start w:val="1"/>
      <w:numFmt w:val="decimal"/>
      <w:lvlText w:val="%1."/>
      <w:lvlJc w:val="left"/>
      <w:pPr>
        <w:ind w:left="500" w:hanging="300"/>
      </w:pPr>
      <w:rPr>
        <w:b/>
        <w:bCs/>
        <w:color w:val="2872FA"/>
      </w:rPr>
    </w:lvl>
  </w:abstractNum>
  <w:abstractNum w:abstractNumId="4" w15:restartNumberingAfterBreak="0">
    <w:multiLevelType w:val="hybridMultilevel"/>
    <w:lvl w:ilvl="0" w:tentative="1">
      <w:start w:val="1"/>
      <w:numFmt w:val="decimal"/>
      <w:lvlText w:val="%1."/>
      <w:lvlJc w:val="left"/>
      <w:pPr>
        <w:ind w:left="500" w:hanging="300"/>
      </w:pPr>
      <w:rPr>
        <w:b/>
        <w:bCs/>
        <w:color w:val="2872FA"/>
      </w:rPr>
    </w:lvl>
  </w:abstractNum>
  <w:abstractNum w:abstractNumId="5" w15:restartNumberingAfterBreak="0">
    <w:multiLevelType w:val="hybridMultilevel"/>
    <w:lvl w:ilvl="0" w:tentative="1">
      <w:start w:val="1"/>
      <w:numFmt w:val="decimal"/>
      <w:lvlText w:val="%1."/>
      <w:lvlJc w:val="left"/>
      <w:pPr>
        <w:ind w:left="500" w:hanging="300"/>
      </w:pPr>
      <w:rPr>
        <w:b/>
        <w:bCs/>
        <w:color w:val="2872FA"/>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B36"/>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872FA" w:sz="8" w:space="3"/>
      </w:pBdr>
      <w:spacing w:after="120" w:before="300"/>
      <w:outlineLvl w:val="0"/>
    </w:pPr>
    <w:rPr>
      <w:rFonts w:ascii="Arial" w:cs="Arial" w:eastAsia="Arial" w:hAnsi="Arial"/>
      <w:b/>
      <w:bCs/>
      <w:color w:val="1F2D3D"/>
      <w:sz w:val="28"/>
      <w:szCs w:val="28"/>
    </w:rPr>
  </w:style>
  <w:style w:type="paragraph" w:styleId="Heading2">
    <w:name w:val="Heading 2"/>
    <w:basedOn w:val="Normal"/>
    <w:next w:val="Normal"/>
    <w:qFormat/>
    <w:pPr>
      <w:spacing w:after="80" w:before="200"/>
      <w:outlineLvl w:val="1"/>
    </w:pPr>
    <w:rPr>
      <w:rFonts w:ascii="Arial" w:cs="Arial" w:eastAsia="Arial" w:hAnsi="Arial"/>
      <w:b/>
      <w:bCs/>
      <w:color w:val="2872FA"/>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054dc1f0e5a37429f112081915dc881b801dbff.png"/></Relationships>
</file>

<file path=word/_rels/header2.xml.rels><?xml version="1.0" encoding="UTF-8"?><Relationships xmlns="http://schemas.openxmlformats.org/package/2006/relationships"><Relationship Id="rId0" Type="http://schemas.openxmlformats.org/officeDocument/2006/relationships/image" Target="media/6054dc1f0e5a37429f112081915dc881b801db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Comunicación de deficiencias y a los encargados del gobierno — PT-EEFF-31</dc:title>
  <dc:creator>Assuran</dc:creator>
  <dc:description>Registro de deficiencias de control interno y comunicación de los asuntos de la auditoría (NIA 265 y 260; artículo 207 del Código de Comercio)</dc:description>
  <cp:lastModifiedBy>Un-named</cp:lastModifiedBy>
  <cp:revision>1</cp:revision>
  <dcterms:created xsi:type="dcterms:W3CDTF">2026-11-03T00:43:04.710Z</dcterms:created>
  <dcterms:modified xsi:type="dcterms:W3CDTF">2026-11-03T00:43:04.710Z</dcterms:modified>
</cp:coreProperties>
</file>

<file path=docProps/custom.xml><?xml version="1.0" encoding="utf-8"?>
<Properties xmlns="http://schemas.openxmlformats.org/officeDocument/2006/custom-properties" xmlns:vt="http://schemas.openxmlformats.org/officeDocument/2006/docPropsVTypes"/>
</file>