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200"/>
      </w:pPr>
      <w:r>
        <w:rPr>
          <w:rFonts w:ascii="Consolas" w:cs="Consolas" w:eastAsia="Consolas" w:hAnsi="Consolas"/>
          <w:b/>
          <w:bCs/>
          <w:color w:val="6B7A8C"/>
          <w:sz w:val="20"/>
          <w:szCs w:val="20"/>
        </w:rPr>
        <w:t xml:space="preserve">PT-EEFF-30</w:t>
      </w:r>
    </w:p>
    <w:p>
      <w:pPr>
        <w:spacing w:after="60"/>
      </w:pPr>
      <w:r>
        <w:rPr>
          <w:rFonts w:ascii="Arial" w:cs="Arial" w:eastAsia="Arial" w:hAnsi="Arial"/>
          <w:b/>
          <w:bCs/>
          <w:color w:val="1F2D3D"/>
          <w:sz w:val="52"/>
          <w:szCs w:val="52"/>
        </w:rPr>
        <w:t xml:space="preserve">Carta de manifestaciones de la administración</w:t>
      </w:r>
    </w:p>
    <w:p>
      <w:pPr>
        <w:spacing w:after="160"/>
      </w:pPr>
      <w:r>
        <w:rPr>
          <w:rFonts w:ascii="Arial" w:cs="Arial" w:eastAsia="Arial" w:hAnsi="Arial"/>
          <w:color w:val="2872FA"/>
          <w:sz w:val="24"/>
          <w:szCs w:val="24"/>
        </w:rPr>
        <w:t xml:space="preserve">Modelo adaptado de la carta de salvaguarda (formato 26 de la GAF, NIA 580)</w:t>
      </w:r>
    </w:p>
    <w:p>
      <w:pPr>
        <w:spacing w:after="140" w:line="264"/>
        <w:jc w:val="both"/>
      </w:pPr>
      <w:r>
        <w:rPr>
          <w:rFonts w:ascii="Arial" w:cs="Arial" w:eastAsia="Arial" w:hAnsi="Arial"/>
          <w:color w:val="8A6A00"/>
          <w:shd w:fill="FFF4CC" w:color="auto" w:val="clear"/>
        </w:rPr>
        <w:t xml:space="preserve">[La carta es evidencia escrita de lo que la administración manifestó durante la auditoría. No reemplaza las demás pruebas. Se pide a quien tiene la responsabilidad de preparar los estados financieros: el representante legal y el contador (o el dueño, si es persona natural). Se fecha el mismo día del informe, nunca después, y cubre todo el periodo auditado y los periodos comparativos. Imprímala en papel de la entidad. Si la administración no la firma, el auditor no puede concluir con seguridad razonable: evalúe una abstención de opinión y comunique el asunto a los encargados del gobierno.]</w:t>
      </w:r>
    </w:p>
    <w:p>
      <w:pPr>
        <w:spacing w:after="140" w:line="264"/>
        <w:jc w:val="both"/>
      </w:pPr>
      <w:r>
        <w:rPr>
          <w:rFonts w:ascii="Arial" w:cs="Arial" w:eastAsia="Arial" w:hAnsi="Arial"/>
          <w:i/>
          <w:iCs/>
          <w:color w:val="6B7A8C"/>
        </w:rPr>
        <w:t xml:space="preserve">Persona natural (comerciante o entidad de una sola persona): el dueño firma y elimina las referencias a representante legal y a junta directiva.</w:t>
      </w:r>
    </w:p>
    <w:p>
      <w:pPr>
        <w:pStyle w:val="Heading1"/>
        <w:keepNext/>
      </w:pPr>
      <w:r>
        <w:rPr>
          <w:rFonts w:ascii="Arial" w:cs="Arial" w:eastAsia="Arial" w:hAnsi="Arial"/>
        </w:rPr>
        <w:t xml:space="preserve">Modelo de carta</w:t>
      </w:r>
    </w:p>
    <w:p>
      <w:pPr>
        <w:spacing w:after="100" w:line="264"/>
        <w:jc w:val="both"/>
      </w:pPr>
      <w:r>
        <w:rPr>
          <w:rFonts w:ascii="Arial" w:cs="Arial" w:eastAsia="Arial" w:hAnsi="Arial"/>
          <w:color w:val="8A6A00"/>
          <w:shd w:fill="FFF4CC" w:color="auto" w:val="clear"/>
        </w:rPr>
        <w:t xml:space="preserve">[Ciudad y fecha del informe]</w:t>
      </w:r>
    </w:p>
    <w:p>
      <w:pPr>
        <w:spacing w:after="0" w:line="264"/>
        <w:jc w:val="both"/>
      </w:pPr>
      <w:r>
        <w:rPr>
          <w:rFonts w:ascii="Arial" w:cs="Arial" w:eastAsia="Arial" w:hAnsi="Arial"/>
        </w:rPr>
        <w:t xml:space="preserve">Señores</w:t>
      </w:r>
    </w:p>
    <w:p>
      <w:pPr>
        <w:spacing w:after="0" w:line="264"/>
        <w:jc w:val="both"/>
      </w:pPr>
      <w:r>
        <w:rPr>
          <w:rFonts w:ascii="Arial" w:cs="Arial" w:eastAsia="Arial" w:hAnsi="Arial"/>
          <w:color w:val="8A6A00"/>
          <w:shd w:fill="FFF4CC" w:color="auto" w:val="clear"/>
        </w:rPr>
        <w:t xml:space="preserve">[Nombre del revisor fiscal o auditor y de la firma]</w:t>
      </w:r>
    </w:p>
    <w:p>
      <w:pPr>
        <w:spacing w:after="100" w:line="264"/>
        <w:jc w:val="both"/>
      </w:pPr>
      <w:r>
        <w:rPr>
          <w:rFonts w:ascii="Arial" w:cs="Arial" w:eastAsia="Arial" w:hAnsi="Arial"/>
          <w:color w:val="8A6A00"/>
          <w:shd w:fill="FFF4CC" w:color="auto" w:val="clear"/>
        </w:rPr>
        <w:t xml:space="preserve">[Dirección]</w:t>
      </w:r>
    </w:p>
    <w:p>
      <w:pPr>
        <w:spacing w:after="100" w:line="264"/>
        <w:jc w:val="both"/>
      </w:pPr>
      <w:r>
        <w:rPr>
          <w:rFonts w:ascii="Arial" w:cs="Arial" w:eastAsia="Arial" w:hAnsi="Arial"/>
          <w:b/>
          <w:bCs/>
        </w:rPr>
        <w:t xml:space="preserve">Asunto: Manifestaciones de la administración sobre los estados financieros al </w:t>
      </w:r>
      <w:r>
        <w:rPr>
          <w:rFonts w:ascii="Arial" w:cs="Arial" w:eastAsia="Arial" w:hAnsi="Arial"/>
          <w:b/>
          <w:bCs/>
          <w:color w:val="8A6A00"/>
          <w:shd w:fill="FFF4CC" w:color="auto" w:val="clear"/>
        </w:rPr>
        <w:t xml:space="preserve">[fecha de cierre]</w:t>
      </w:r>
    </w:p>
    <w:p>
      <w:pPr>
        <w:spacing w:after="100" w:line="264"/>
        <w:jc w:val="both"/>
      </w:pPr>
      <w:r>
        <w:rPr>
          <w:rFonts w:ascii="Arial" w:cs="Arial" w:eastAsia="Arial" w:hAnsi="Arial"/>
        </w:rPr>
        <w:t xml:space="preserve">Con relación a la auditoría de los estados financieros de </w:t>
      </w:r>
      <w:r>
        <w:rPr>
          <w:rFonts w:ascii="Arial" w:cs="Arial" w:eastAsia="Arial" w:hAnsi="Arial"/>
          <w:color w:val="8A6A00"/>
          <w:shd w:fill="FFF4CC" w:color="auto" w:val="clear"/>
        </w:rPr>
        <w:t xml:space="preserve">[Entidad]</w:t>
      </w:r>
      <w:r>
        <w:rPr>
          <w:rFonts w:ascii="Arial" w:cs="Arial" w:eastAsia="Arial" w:hAnsi="Arial"/>
        </w:rPr>
        <w:t xml:space="preserve">, NIT </w:t>
      </w:r>
      <w:r>
        <w:rPr>
          <w:rFonts w:ascii="Arial" w:cs="Arial" w:eastAsia="Arial" w:hAnsi="Arial"/>
          <w:color w:val="8A6A00"/>
          <w:shd w:fill="FFF4CC" w:color="auto" w:val="clear"/>
        </w:rPr>
        <w:t xml:space="preserve">[ ]</w:t>
      </w:r>
      <w:r>
        <w:rPr>
          <w:rFonts w:ascii="Arial" w:cs="Arial" w:eastAsia="Arial" w:hAnsi="Arial"/>
        </w:rPr>
        <w:t xml:space="preserve">, por el periodo terminado el </w:t>
      </w:r>
      <w:r>
        <w:rPr>
          <w:rFonts w:ascii="Arial" w:cs="Arial" w:eastAsia="Arial" w:hAnsi="Arial"/>
          <w:color w:val="8A6A00"/>
          <w:shd w:fill="FFF4CC" w:color="auto" w:val="clear"/>
        </w:rPr>
        <w:t xml:space="preserve">[fecha]</w:t>
      </w:r>
      <w:r>
        <w:rPr>
          <w:rFonts w:ascii="Arial" w:cs="Arial" w:eastAsia="Arial" w:hAnsi="Arial"/>
        </w:rPr>
        <w:t xml:space="preserve">, realizada con el fin de expresar una opinión sobre si los estados financieros presentan razonablemente, en todos los aspectos materiales, la situación financiera, el resultado y los flujos de efectivo, de conformidad con </w:t>
      </w:r>
      <w:r>
        <w:rPr>
          <w:rFonts w:ascii="Arial" w:cs="Arial" w:eastAsia="Arial" w:hAnsi="Arial"/>
          <w:color w:val="8A6A00"/>
          <w:shd w:fill="FFF4CC" w:color="auto" w:val="clear"/>
        </w:rPr>
        <w:t xml:space="preserve">[marco de información financiera aplicable: NIIF plenas, NIIF para las PYMES o NIF para microempresas, Decreto 2420 de 2015]</w:t>
      </w:r>
      <w:r>
        <w:rPr>
          <w:rFonts w:ascii="Arial" w:cs="Arial" w:eastAsia="Arial" w:hAnsi="Arial"/>
        </w:rPr>
        <w:t xml:space="preserve">, confirmamos, según nuestro mejor saber y entender, las siguientes manifestaciones:</w:t>
      </w:r>
    </w:p>
    <w:p>
      <w:pPr>
        <w:pStyle w:val="Heading2"/>
        <w:keepNext/>
      </w:pPr>
      <w:r>
        <w:rPr>
          <w:rFonts w:ascii="Arial" w:cs="Arial" w:eastAsia="Arial" w:hAnsi="Arial"/>
        </w:rPr>
        <w:t xml:space="preserve">Responsabilidad sobre los estados financieros y el control interno</w:t>
      </w:r>
    </w:p>
    <w:p>
      <w:pPr>
        <w:pStyle w:val="ListParagraph"/>
        <w:numPr>
          <w:ilvl w:val="0"/>
          <w:numId w:val="2"/>
        </w:numPr>
        <w:spacing w:after="60" w:line="260"/>
        <w:jc w:val="both"/>
      </w:pPr>
      <w:r>
        <w:rPr>
          <w:rFonts w:ascii="Arial" w:cs="Arial" w:eastAsia="Arial" w:hAnsi="Arial"/>
        </w:rPr>
        <w:t xml:space="preserve">Cumplimos nuestra responsabilidad de preparar los estados financieros de conformidad con el marco de información financiera aplicable, y de presentarlos razonablemente. Los certificamos conforme al artículo 37 de la Ley 222 de 1995.</w:t>
      </w:r>
    </w:p>
    <w:p>
      <w:pPr>
        <w:pStyle w:val="ListParagraph"/>
        <w:numPr>
          <w:ilvl w:val="0"/>
          <w:numId w:val="2"/>
        </w:numPr>
        <w:spacing w:after="60" w:line="260"/>
        <w:jc w:val="both"/>
      </w:pPr>
      <w:r>
        <w:rPr>
          <w:rFonts w:ascii="Arial" w:cs="Arial" w:eastAsia="Arial" w:hAnsi="Arial"/>
        </w:rPr>
        <w:t xml:space="preserve">Somos responsables del diseño, la implementación y el mantenimiento del control interno necesario para preparar estados financieros libres de incorrecciones materiales por fraude o error.</w:t>
      </w:r>
    </w:p>
    <w:p>
      <w:pPr>
        <w:pStyle w:val="ListParagraph"/>
        <w:numPr>
          <w:ilvl w:val="0"/>
          <w:numId w:val="2"/>
        </w:numPr>
        <w:spacing w:after="140" w:line="260"/>
        <w:jc w:val="both"/>
      </w:pPr>
      <w:r>
        <w:rPr>
          <w:rFonts w:ascii="Arial" w:cs="Arial" w:eastAsia="Arial" w:hAnsi="Arial"/>
        </w:rPr>
        <w:t xml:space="preserve">Las estimaciones contables, incluidas las de valor razonable, y sus revelaciones son razonables y se basan en hipótesis que reflejan nuestra intención y capacidad de llevar a cabo las acciones previstas.</w:t>
      </w:r>
    </w:p>
    <w:p>
      <w:pPr>
        <w:pStyle w:val="Heading2"/>
        <w:keepNext/>
      </w:pPr>
      <w:r>
        <w:rPr>
          <w:rFonts w:ascii="Arial" w:cs="Arial" w:eastAsia="Arial" w:hAnsi="Arial"/>
        </w:rPr>
        <w:t xml:space="preserve">Información suministrada</w:t>
      </w:r>
    </w:p>
    <w:p>
      <w:pPr>
        <w:pStyle w:val="ListParagraph"/>
        <w:numPr>
          <w:ilvl w:val="0"/>
          <w:numId w:val="2"/>
        </w:numPr>
        <w:spacing w:after="60" w:line="260"/>
        <w:jc w:val="both"/>
      </w:pPr>
      <w:r>
        <w:rPr>
          <w:rFonts w:ascii="Arial" w:cs="Arial" w:eastAsia="Arial" w:hAnsi="Arial"/>
        </w:rPr>
        <w:t xml:space="preserve">Le entregamos todos los registros contables, los soportes, las actas de asamblea o junta de socios, de junta directiva y de comités, y demás información relevante para la auditoría, incluidas las actas aún no aprobadas.</w:t>
      </w:r>
    </w:p>
    <w:p>
      <w:pPr>
        <w:pStyle w:val="ListParagraph"/>
        <w:numPr>
          <w:ilvl w:val="0"/>
          <w:numId w:val="2"/>
        </w:numPr>
        <w:spacing w:after="60" w:line="260"/>
        <w:jc w:val="both"/>
      </w:pPr>
      <w:r>
        <w:rPr>
          <w:rFonts w:ascii="Arial" w:cs="Arial" w:eastAsia="Arial" w:hAnsi="Arial"/>
        </w:rPr>
        <w:t xml:space="preserve">Le dimos acceso sin restricciones a las personas de la entidad de las que usted consideró necesario obtener evidencia.</w:t>
      </w:r>
    </w:p>
    <w:p>
      <w:pPr>
        <w:pStyle w:val="ListParagraph"/>
        <w:numPr>
          <w:ilvl w:val="0"/>
          <w:numId w:val="2"/>
        </w:numPr>
        <w:spacing w:after="60" w:line="260"/>
        <w:jc w:val="both"/>
      </w:pPr>
      <w:r>
        <w:rPr>
          <w:rFonts w:ascii="Arial" w:cs="Arial" w:eastAsia="Arial" w:hAnsi="Arial"/>
        </w:rPr>
        <w:t xml:space="preserve">Todas las transacciones están registradas en los libros y reflejadas en los estados financieros. No hay transacciones significativas sin registrar ni sin revelar.</w:t>
      </w:r>
    </w:p>
    <w:p>
      <w:pPr>
        <w:pStyle w:val="ListParagraph"/>
        <w:numPr>
          <w:ilvl w:val="0"/>
          <w:numId w:val="2"/>
        </w:numPr>
        <w:spacing w:after="140" w:line="260"/>
        <w:jc w:val="both"/>
      </w:pPr>
      <w:r>
        <w:rPr>
          <w:rFonts w:ascii="Arial" w:cs="Arial" w:eastAsia="Arial" w:hAnsi="Arial"/>
        </w:rPr>
        <w:t xml:space="preserve">Le informamos los resultados de nuestra evaluación del riesgo de que los estados financieros contengan incorrecciones materiales por fraude.</w:t>
      </w:r>
    </w:p>
    <w:p>
      <w:pPr>
        <w:pStyle w:val="Heading2"/>
        <w:keepNext/>
      </w:pPr>
      <w:r>
        <w:rPr>
          <w:rFonts w:ascii="Arial" w:cs="Arial" w:eastAsia="Arial" w:hAnsi="Arial"/>
        </w:rPr>
        <w:t xml:space="preserve">Fraude e incumplimiento</w:t>
      </w:r>
    </w:p>
    <w:p>
      <w:pPr>
        <w:pStyle w:val="ListParagraph"/>
        <w:numPr>
          <w:ilvl w:val="0"/>
          <w:numId w:val="2"/>
        </w:numPr>
        <w:spacing w:after="60" w:line="260"/>
        <w:jc w:val="both"/>
      </w:pPr>
      <w:r>
        <w:rPr>
          <w:rFonts w:ascii="Arial" w:cs="Arial" w:eastAsia="Arial" w:hAnsi="Arial"/>
        </w:rPr>
        <w:t xml:space="preserve">Le informamos todo fraude conocido o sospechado que involucre a la administración, a empleados con funciones relevantes en el control interno o a terceros, con efecto posible en los estados financieros, incluidas las denuncias de empleados, exempleados, analistas o entes de control.</w:t>
      </w:r>
    </w:p>
    <w:p>
      <w:pPr>
        <w:pStyle w:val="ListParagraph"/>
        <w:numPr>
          <w:ilvl w:val="0"/>
          <w:numId w:val="2"/>
        </w:numPr>
        <w:spacing w:after="140" w:line="260"/>
        <w:jc w:val="both"/>
      </w:pPr>
      <w:r>
        <w:rPr>
          <w:rFonts w:ascii="Arial" w:cs="Arial" w:eastAsia="Arial" w:hAnsi="Arial"/>
        </w:rPr>
        <w:t xml:space="preserve">Le informamos todos los incumplimientos o sospechas de incumplimiento de leyes y regulaciones cuyos efectos deban considerarse al preparar los estados financieros, y las comunicaciones de las autoridades de supervisión.</w:t>
      </w:r>
    </w:p>
    <w:p>
      <w:pPr>
        <w:pStyle w:val="Heading2"/>
        <w:keepNext/>
      </w:pPr>
      <w:r>
        <w:rPr>
          <w:rFonts w:ascii="Arial" w:cs="Arial" w:eastAsia="Arial" w:hAnsi="Arial"/>
        </w:rPr>
        <w:t xml:space="preserve">Partes vinculadas, hechos posteriores y empresa en funcionamiento</w:t>
      </w:r>
    </w:p>
    <w:p>
      <w:pPr>
        <w:pStyle w:val="ListParagraph"/>
        <w:numPr>
          <w:ilvl w:val="0"/>
          <w:numId w:val="2"/>
        </w:numPr>
        <w:spacing w:after="60" w:line="260"/>
        <w:jc w:val="both"/>
      </w:pPr>
      <w:r>
        <w:rPr>
          <w:rFonts w:ascii="Arial" w:cs="Arial" w:eastAsia="Arial" w:hAnsi="Arial"/>
        </w:rPr>
        <w:t xml:space="preserve">Le informamos la identidad de las partes vinculadas y todas las relaciones y transacciones con ellas de las que tenemos conocimiento. Se contabilizaron y se revelaron adecuadamente.</w:t>
      </w:r>
    </w:p>
    <w:p>
      <w:pPr>
        <w:pStyle w:val="ListParagraph"/>
        <w:numPr>
          <w:ilvl w:val="0"/>
          <w:numId w:val="2"/>
        </w:numPr>
        <w:spacing w:after="60" w:line="260"/>
        <w:jc w:val="both"/>
      </w:pPr>
      <w:r>
        <w:rPr>
          <w:rFonts w:ascii="Arial" w:cs="Arial" w:eastAsia="Arial" w:hAnsi="Arial"/>
        </w:rPr>
        <w:t xml:space="preserve">No han ocurrido hechos posteriores a la fecha de los estados financieros y hasta la fecha de esta carta que requieran ajustes o revelaciones, excepto los ya registrados o revelados.</w:t>
      </w:r>
    </w:p>
    <w:p>
      <w:pPr>
        <w:pStyle w:val="ListParagraph"/>
        <w:numPr>
          <w:ilvl w:val="0"/>
          <w:numId w:val="2"/>
        </w:numPr>
        <w:spacing w:after="60" w:line="260"/>
        <w:jc w:val="both"/>
      </w:pPr>
      <w:r>
        <w:rPr>
          <w:rFonts w:ascii="Arial" w:cs="Arial" w:eastAsia="Arial" w:hAnsi="Arial"/>
        </w:rPr>
        <w:t xml:space="preserve">La entidad no tiene planes ni intenciones que puedan cambiar significativamente el valor o la clasificación de sus activos y pasivos.</w:t>
      </w:r>
    </w:p>
    <w:p>
      <w:pPr>
        <w:pStyle w:val="ListParagraph"/>
        <w:numPr>
          <w:ilvl w:val="0"/>
          <w:numId w:val="2"/>
        </w:numPr>
        <w:spacing w:after="140" w:line="260"/>
        <w:jc w:val="both"/>
      </w:pPr>
      <w:r>
        <w:rPr>
          <w:rFonts w:ascii="Arial" w:cs="Arial" w:eastAsia="Arial" w:hAnsi="Arial"/>
        </w:rPr>
        <w:t xml:space="preserve">Los estados financieros se preparan sobre la base de empresa en funcionamiento. Le informamos todos los hechos o condiciones que puedan generar dudas sobre la capacidad de continuar y nuestros planes frente a ellos. </w:t>
      </w:r>
      <w:r>
        <w:rPr>
          <w:rFonts w:ascii="Arial" w:cs="Arial" w:eastAsia="Arial" w:hAnsi="Arial"/>
          <w:color w:val="8A6A00"/>
          <w:shd w:fill="FFF4CC" w:color="auto" w:val="clear"/>
        </w:rPr>
        <w:t xml:space="preserve">[Eliminar o ajustar si la base es distinta.]</w:t>
      </w:r>
    </w:p>
    <w:p>
      <w:pPr>
        <w:pStyle w:val="Heading2"/>
        <w:keepNext/>
      </w:pPr>
      <w:r>
        <w:rPr>
          <w:rFonts w:ascii="Arial" w:cs="Arial" w:eastAsia="Arial" w:hAnsi="Arial"/>
        </w:rPr>
        <w:t xml:space="preserve">Litigios, garantías y contingencias</w:t>
      </w:r>
    </w:p>
    <w:p>
      <w:pPr>
        <w:pStyle w:val="ListParagraph"/>
        <w:numPr>
          <w:ilvl w:val="0"/>
          <w:numId w:val="2"/>
        </w:numPr>
        <w:spacing w:after="60" w:line="260"/>
        <w:jc w:val="both"/>
      </w:pPr>
      <w:r>
        <w:rPr>
          <w:rFonts w:ascii="Arial" w:cs="Arial" w:eastAsia="Arial" w:hAnsi="Arial"/>
        </w:rPr>
        <w:t xml:space="preserve">Le informamos todos los litigios, reclamaciones y contingencias conocidas, y se contabilizaron y se revelaron conforme al marco contable.</w:t>
      </w:r>
    </w:p>
    <w:p>
      <w:pPr>
        <w:pStyle w:val="ListParagraph"/>
        <w:numPr>
          <w:ilvl w:val="0"/>
          <w:numId w:val="2"/>
        </w:numPr>
        <w:spacing w:after="140" w:line="260"/>
        <w:jc w:val="both"/>
      </w:pPr>
      <w:r>
        <w:rPr>
          <w:rFonts w:ascii="Arial" w:cs="Arial" w:eastAsia="Arial" w:hAnsi="Arial"/>
        </w:rPr>
        <w:t xml:space="preserve">La entidad tiene título de propiedad sobre sus activos; no hay gravámenes ni garantías sobre ellos, salvo los revelados. Cumplimos los compromisos y los covenants de los contratos de crédito, salvo lo revelado.</w:t>
      </w:r>
    </w:p>
    <w:p>
      <w:pPr>
        <w:pStyle w:val="Heading2"/>
        <w:keepNext/>
      </w:pPr>
      <w:r>
        <w:rPr>
          <w:rFonts w:ascii="Arial" w:cs="Arial" w:eastAsia="Arial" w:hAnsi="Arial"/>
        </w:rPr>
        <w:t xml:space="preserve">Incorrecciones no corregidas</w:t>
      </w:r>
    </w:p>
    <w:p>
      <w:pPr>
        <w:pStyle w:val="ListParagraph"/>
        <w:numPr>
          <w:ilvl w:val="0"/>
          <w:numId w:val="2"/>
        </w:numPr>
        <w:spacing w:after="140" w:line="260"/>
        <w:jc w:val="both"/>
      </w:pPr>
      <w:r>
        <w:rPr>
          <w:rFonts w:ascii="Arial" w:cs="Arial" w:eastAsia="Arial" w:hAnsi="Arial"/>
        </w:rPr>
        <w:t xml:space="preserve">Las incorrecciones no corregidas que se acumularon durante la auditoría, resumidas en el anexo de esta carta, son inmateriales, individualmente y en conjunto, para los estados financieros en su conjunto. </w:t>
      </w:r>
      <w:r>
        <w:rPr>
          <w:rFonts w:ascii="Arial" w:cs="Arial" w:eastAsia="Arial" w:hAnsi="Arial"/>
          <w:color w:val="8A6A00"/>
          <w:shd w:fill="FFF4CC" w:color="auto" w:val="clear"/>
        </w:rPr>
        <w:t xml:space="preserve">[Si la administración no está de acuerdo en que sean incorrecciones, exprese los motivos.]</w:t>
      </w:r>
    </w:p>
    <w:p>
      <w:pPr>
        <w:pStyle w:val="Heading2"/>
        <w:keepNext/>
      </w:pPr>
      <w:r>
        <w:rPr>
          <w:rFonts w:ascii="Arial" w:cs="Arial" w:eastAsia="Arial" w:hAnsi="Arial"/>
        </w:rPr>
        <w:t xml:space="preserve">Otros asuntos</w:t>
      </w:r>
    </w:p>
    <w:p>
      <w:pPr>
        <w:pStyle w:val="ListParagraph"/>
        <w:numPr>
          <w:ilvl w:val="0"/>
          <w:numId w:val="2"/>
        </w:numPr>
        <w:spacing w:after="140" w:line="260"/>
        <w:jc w:val="both"/>
      </w:pPr>
      <w:r>
        <w:rPr>
          <w:rFonts w:ascii="Arial" w:cs="Arial" w:eastAsia="Arial" w:hAnsi="Arial"/>
          <w:color w:val="8A6A00"/>
          <w:shd w:fill="FFF4CC" w:color="auto" w:val="clear"/>
        </w:rPr>
        <w:t xml:space="preserve">[Agregue lo que corresponda: información sobre sucursales, uso de expertos, cumplimiento de requisitos del Código de Comercio o de la Superintendencia, compromisos de la gerencia, bonificaciones atadas a resultados, datos personales (Ley 1581 de 2012) y otros asuntos específicos del encargo.]</w:t>
      </w:r>
    </w:p>
    <w:p>
      <w:pPr>
        <w:spacing w:after="140" w:line="264"/>
        <w:jc w:val="both"/>
      </w:pPr>
      <w:r>
        <w:rPr>
          <w:rFonts w:ascii="Arial" w:cs="Arial" w:eastAsia="Arial" w:hAnsi="Arial"/>
        </w:rPr>
        <w:t xml:space="preserve">Atentamente,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Pr>
        <w:tc>
          <w:tcPr>
            <w:tcW w:type="dxa" w:w="4680"/>
            <w:tcBorders>
              <w:top w:val="single" w:color="BFC9D9" w:sz="4"/>
              <w:left w:val="single" w:color="BFC9D9" w:sz="4"/>
              <w:bottom w:val="single" w:color="BFC9D9" w:sz="4"/>
              <w:right w:val="single" w:color="BFC9D9" w:sz="4"/>
            </w:tcBorders>
            <w:shd w:fill="EAF1FE"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Representante legal (o dueño)</w:t>
            </w:r>
          </w:p>
          <w:p>
            <w:pPr>
              <w:keepNext w:val="false"/>
              <w:spacing w:after="40" w:line="250"/>
              <w:jc w:val="left"/>
            </w:pPr>
            <w:r>
              <w:rPr>
                <w:rFonts w:ascii="Arial" w:cs="Arial" w:eastAsia="Arial" w:hAnsi="Arial"/>
                <w:b/>
                <w:bCs/>
              </w:rPr>
              <w:t xml:space="preserve"> </w:t>
            </w:r>
          </w:p>
          <w:p>
            <w:pPr>
              <w:keepNext w:val="false"/>
              <w:spacing w:after="40" w:line="250"/>
              <w:jc w:val="left"/>
            </w:pPr>
            <w:r>
              <w:rPr>
                <w:rFonts w:ascii="Arial" w:cs="Arial" w:eastAsia="Arial" w:hAnsi="Arial"/>
                <w:b/>
                <w:bCs/>
              </w:rPr>
              <w:t xml:space="preserve"> </w:t>
            </w:r>
          </w:p>
          <w:p>
            <w:pPr>
              <w:keepNext w:val="false"/>
              <w:spacing w:after="40" w:line="250"/>
              <w:jc w:val="left"/>
            </w:pPr>
            <w:r>
              <w:rPr>
                <w:rFonts w:ascii="Arial" w:cs="Arial" w:eastAsia="Arial" w:hAnsi="Arial"/>
                <w:b/>
                <w:bCs/>
              </w:rPr>
              <w:t xml:space="preserve"> </w:t>
            </w:r>
          </w:p>
          <w:p>
            <w:pPr>
              <w:keepNext w:val="false"/>
              <w:spacing w:after="40" w:line="250"/>
              <w:jc w:val="left"/>
            </w:pPr>
            <w:r>
              <w:rPr>
                <w:rFonts w:ascii="Arial" w:cs="Arial" w:eastAsia="Arial" w:hAnsi="Arial"/>
                <w:b/>
                <w:bCs/>
              </w:rPr>
              <w:t xml:space="preserve">Nombre, documento y fecha:</w:t>
            </w:r>
          </w:p>
        </w:tc>
        <w:tc>
          <w:tcPr>
            <w:tcW w:type="dxa" w:w="4680"/>
            <w:tcBorders>
              <w:top w:val="single" w:color="BFC9D9" w:sz="4"/>
              <w:left w:val="single" w:color="BFC9D9" w:sz="4"/>
              <w:bottom w:val="single" w:color="BFC9D9" w:sz="4"/>
              <w:right w:val="single" w:color="BFC9D9" w:sz="4"/>
            </w:tcBorders>
            <w:shd w:fill="EAF1FE"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Contador público (con tarjeta profesional)</w:t>
            </w:r>
          </w:p>
          <w:p>
            <w:pPr>
              <w:keepNext w:val="false"/>
              <w:spacing w:after="40" w:line="250"/>
              <w:jc w:val="left"/>
            </w:pPr>
            <w:r>
              <w:rPr>
                <w:rFonts w:ascii="Arial" w:cs="Arial" w:eastAsia="Arial" w:hAnsi="Arial"/>
                <w:b/>
                <w:bCs/>
              </w:rPr>
              <w:t xml:space="preserve"> </w:t>
            </w:r>
          </w:p>
          <w:p>
            <w:pPr>
              <w:keepNext w:val="false"/>
              <w:spacing w:after="40" w:line="250"/>
              <w:jc w:val="left"/>
            </w:pPr>
            <w:r>
              <w:rPr>
                <w:rFonts w:ascii="Arial" w:cs="Arial" w:eastAsia="Arial" w:hAnsi="Arial"/>
                <w:b/>
                <w:bCs/>
              </w:rPr>
              <w:t xml:space="preserve"> </w:t>
            </w:r>
          </w:p>
          <w:p>
            <w:pPr>
              <w:keepNext w:val="false"/>
              <w:spacing w:after="40" w:line="250"/>
              <w:jc w:val="left"/>
            </w:pPr>
            <w:r>
              <w:rPr>
                <w:rFonts w:ascii="Arial" w:cs="Arial" w:eastAsia="Arial" w:hAnsi="Arial"/>
                <w:b/>
                <w:bCs/>
              </w:rPr>
              <w:t xml:space="preserve"> </w:t>
            </w:r>
          </w:p>
          <w:p>
            <w:pPr>
              <w:keepNext w:val="false"/>
              <w:spacing w:after="40" w:line="250"/>
              <w:jc w:val="left"/>
            </w:pPr>
            <w:r>
              <w:rPr>
                <w:rFonts w:ascii="Arial" w:cs="Arial" w:eastAsia="Arial" w:hAnsi="Arial"/>
                <w:b/>
                <w:bCs/>
              </w:rPr>
              <w:t xml:space="preserve">Nombre, documento y fecha:</w:t>
            </w:r>
          </w:p>
        </w:tc>
      </w:tr>
    </w:tbl>
    <w:p>
      <w:pPr>
        <w:spacing w:after="100"/>
      </w:pPr>
    </w:p>
    <w:p>
      <w:pPr>
        <w:pStyle w:val="Heading2"/>
        <w:keepNext/>
      </w:pPr>
      <w:r>
        <w:rPr>
          <w:rFonts w:ascii="Arial" w:cs="Arial" w:eastAsia="Arial" w:hAnsi="Arial"/>
        </w:rPr>
        <w:t xml:space="preserve">Anexo: incorrecciones no corregidas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10"/>
        <w:gridCol w:w="2434"/>
        <w:gridCol w:w="1498"/>
        <w:gridCol w:w="1310"/>
        <w:gridCol w:w="1310"/>
        <w:gridCol w:w="1498"/>
      </w:tblGrid>
      <w:tr>
        <w:trPr>
          <w:cantSplit/>
          <w:tblHeader/>
        </w:trPr>
        <w:tc>
          <w:tcPr>
            <w:tcW w:type="dxa" w:w="131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Cuenta</w:t>
            </w:r>
          </w:p>
        </w:tc>
        <w:tc>
          <w:tcPr>
            <w:tcW w:type="dxa" w:w="2434"/>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Descripción</w:t>
            </w:r>
          </w:p>
        </w:tc>
        <w:tc>
          <w:tcPr>
            <w:tcW w:type="dxa" w:w="1498"/>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Valor</w:t>
            </w:r>
          </w:p>
        </w:tc>
        <w:tc>
          <w:tcPr>
            <w:tcW w:type="dxa" w:w="131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Sobre o sub</w:t>
            </w:r>
          </w:p>
        </w:tc>
        <w:tc>
          <w:tcPr>
            <w:tcW w:type="dxa" w:w="131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Naturaleza</w:t>
            </w:r>
          </w:p>
        </w:tc>
        <w:tc>
          <w:tcPr>
            <w:tcW w:type="dxa" w:w="1498"/>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Ref. PT-EEFF-28</w:t>
            </w:r>
          </w:p>
        </w:tc>
      </w:tr>
      <w:tr>
        <w:trPr>
          <w:cantSplit/>
        </w:trPr>
        <w:tc>
          <w:tcPr>
            <w:tcW w:type="dxa" w:w="131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 </w:t>
            </w:r>
          </w:p>
        </w:tc>
        <w:tc>
          <w:tcPr>
            <w:tcW w:type="dxa" w:w="2434"/>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1498"/>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131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131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1498"/>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r>
      <w:tr>
        <w:trPr>
          <w:cantSplit/>
        </w:trPr>
        <w:tc>
          <w:tcPr>
            <w:tcW w:type="dxa" w:w="131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 </w:t>
            </w:r>
          </w:p>
        </w:tc>
        <w:tc>
          <w:tcPr>
            <w:tcW w:type="dxa" w:w="2434"/>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1498"/>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131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131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1498"/>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r>
      <w:tr>
        <w:trPr>
          <w:cantSplit/>
        </w:trPr>
        <w:tc>
          <w:tcPr>
            <w:tcW w:type="dxa" w:w="131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 </w:t>
            </w:r>
          </w:p>
        </w:tc>
        <w:tc>
          <w:tcPr>
            <w:tcW w:type="dxa" w:w="2434"/>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1498"/>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131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131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1498"/>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r>
      <w:tr>
        <w:trPr>
          <w:cantSplit/>
        </w:trPr>
        <w:tc>
          <w:tcPr>
            <w:tcW w:type="dxa" w:w="131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 </w:t>
            </w:r>
          </w:p>
        </w:tc>
        <w:tc>
          <w:tcPr>
            <w:tcW w:type="dxa" w:w="2434"/>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1498"/>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131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131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1498"/>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r>
      <w:tr>
        <w:trPr>
          <w:cantSplit/>
        </w:trPr>
        <w:tc>
          <w:tcPr>
            <w:tcW w:type="dxa" w:w="131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 </w:t>
            </w:r>
          </w:p>
        </w:tc>
        <w:tc>
          <w:tcPr>
            <w:tcW w:type="dxa" w:w="2434"/>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1498"/>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131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131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1498"/>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r>
      <w:tr>
        <w:trPr>
          <w:cantSplit/>
        </w:trPr>
        <w:tc>
          <w:tcPr>
            <w:tcW w:type="dxa" w:w="131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 </w:t>
            </w:r>
          </w:p>
        </w:tc>
        <w:tc>
          <w:tcPr>
            <w:tcW w:type="dxa" w:w="2434"/>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1498"/>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131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131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1498"/>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r>
    </w:tbl>
    <w:p>
      <w:pPr>
        <w:pStyle w:val="Heading2"/>
        <w:keepNext/>
      </w:pPr>
      <w:r>
        <w:rPr>
          <w:rFonts w:ascii="Arial" w:cs="Arial" w:eastAsia="Arial" w:hAnsi="Arial"/>
        </w:rPr>
        <w:t xml:space="preserve">Reglas de uso para el auditor</w:t>
      </w:r>
    </w:p>
    <w:p>
      <w:pPr>
        <w:pStyle w:val="ListParagraph"/>
        <w:numPr>
          <w:ilvl w:val="0"/>
          <w:numId w:val="2"/>
        </w:numPr>
        <w:spacing w:after="60" w:line="260"/>
        <w:jc w:val="both"/>
      </w:pPr>
      <w:r>
        <w:rPr>
          <w:rFonts w:ascii="Arial" w:cs="Arial" w:eastAsia="Arial" w:hAnsi="Arial"/>
        </w:rPr>
        <w:t xml:space="preserve">La carta reemplaza al formato 26 de la GAF, que era una declaración del representante legal ante la Contraloría. Aquí se amplió para cubrir lo que exige la NIA 580 en el sector privado.</w:t>
      </w:r>
    </w:p>
    <w:p>
      <w:pPr>
        <w:pStyle w:val="ListParagraph"/>
        <w:numPr>
          <w:ilvl w:val="0"/>
          <w:numId w:val="2"/>
        </w:numPr>
        <w:spacing w:after="60" w:line="260"/>
        <w:jc w:val="both"/>
      </w:pPr>
      <w:r>
        <w:rPr>
          <w:rFonts w:ascii="Arial" w:cs="Arial" w:eastAsia="Arial" w:hAnsi="Arial"/>
        </w:rPr>
        <w:t xml:space="preserve">Si los estados financieros no están certificados o si la administración se niega a incluir una manifestación obligatoria (responsabilidades, información completa), no emita la opinión: evalúe una abstención.</w:t>
      </w:r>
    </w:p>
    <w:p>
      <w:pPr>
        <w:pStyle w:val="ListParagraph"/>
        <w:numPr>
          <w:ilvl w:val="0"/>
          <w:numId w:val="2"/>
        </w:numPr>
        <w:spacing w:after="60" w:line="260"/>
        <w:jc w:val="both"/>
      </w:pPr>
      <w:r>
        <w:rPr>
          <w:rFonts w:ascii="Arial" w:cs="Arial" w:eastAsia="Arial" w:hAnsi="Arial"/>
        </w:rPr>
        <w:t xml:space="preserve">Las manifestaciones sobre asuntos materiales sin otra evidencia no son suficientes: la carta no sustituye pruebas que debieron obtenerse.</w:t>
      </w:r>
    </w:p>
    <w:p>
      <w:pPr>
        <w:pStyle w:val="ListParagraph"/>
        <w:numPr>
          <w:ilvl w:val="0"/>
          <w:numId w:val="2"/>
        </w:numPr>
        <w:spacing w:after="140" w:line="260"/>
        <w:jc w:val="both"/>
      </w:pPr>
      <w:r>
        <w:rPr>
          <w:rFonts w:ascii="Arial" w:cs="Arial" w:eastAsia="Arial" w:hAnsi="Arial"/>
        </w:rPr>
        <w:t xml:space="preserve">Si duda de la integridad de quien firma, evalúe el efecto sobre la fiabilidad de las manifestaciones y de la evidencia en su conjunto.</w:t>
      </w:r>
    </w:p>
    <w:p>
      <w:pPr>
        <w:pStyle w:val="Heading2"/>
        <w:keepNext/>
      </w:pPr>
      <w:r>
        <w:rPr>
          <w:rFonts w:ascii="Arial" w:cs="Arial" w:eastAsia="Arial" w:hAnsi="Arial"/>
        </w:rPr>
        <w:t xml:space="preserve">Revisión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single" w:color="BFC9D9" w:sz="4"/>
              <w:left w:val="single" w:color="BFC9D9" w:sz="4"/>
              <w:bottom w:val="single" w:color="BFC9D9" w:sz="4"/>
              <w:right w:val="single" w:color="BFC9D9" w:sz="4"/>
            </w:tcBorders>
            <w:shd w:fill="EAF1FE" w:color="auto" w:val="clear"/>
            <w:tcMar>
              <w:top w:type="dxa" w:w="70"/>
              <w:left w:type="dxa" w:w="110"/>
              <w:bottom w:type="dxa" w:w="70"/>
              <w:right w:type="dxa" w:w="110"/>
            </w:tcMar>
            <w:vAlign w:val="top"/>
          </w:tcPr>
          <w:p>
            <w:pPr>
              <w:keepNext w:val="false"/>
              <w:spacing w:after="40" w:line="250"/>
              <w:jc w:val="both"/>
            </w:pPr>
            <w:r>
              <w:rPr>
                <w:rFonts w:ascii="Arial" w:cs="Arial" w:eastAsia="Arial" w:hAnsi="Arial"/>
                <w:b/>
                <w:bCs/>
              </w:rPr>
              <w:t xml:space="preserve">Comentarios del supervisor o del responsable del encargo</w:t>
            </w:r>
          </w:p>
          <w:p>
            <w:pPr>
              <w:keepNext w:val="false"/>
              <w:spacing w:after="40" w:line="250"/>
              <w:jc w:val="left"/>
            </w:pPr>
            <w:r>
              <w:rPr>
                <w:rFonts w:ascii="Arial" w:cs="Arial" w:eastAsia="Arial" w:hAnsi="Arial"/>
                <w:b/>
                <w:bCs/>
              </w:rPr>
              <w:t xml:space="preserve"> </w:t>
            </w:r>
          </w:p>
          <w:p>
            <w:pPr>
              <w:keepNext w:val="false"/>
              <w:spacing w:after="40" w:line="250"/>
              <w:jc w:val="left"/>
            </w:pPr>
            <w:r>
              <w:rPr>
                <w:rFonts w:ascii="Arial" w:cs="Arial" w:eastAsia="Arial" w:hAnsi="Arial"/>
                <w:b/>
                <w:bCs/>
              </w:rPr>
              <w:t xml:space="preserve"> </w:t>
            </w:r>
          </w:p>
        </w:tc>
      </w:tr>
    </w:tbl>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single" w:color="BFC9D9" w:sz="4"/>
              <w:left w:val="single" w:color="BFC9D9" w:sz="4"/>
              <w:bottom w:val="single" w:color="BFC9D9" w:sz="4"/>
              <w:right w:val="single" w:color="BFC9D9" w:sz="4"/>
            </w:tcBorders>
            <w:shd w:fill="EAF1FE" w:color="auto" w:val="clear"/>
            <w:tcMar>
              <w:top w:type="dxa" w:w="70"/>
              <w:left w:type="dxa" w:w="110"/>
              <w:bottom w:type="dxa" w:w="70"/>
              <w:right w:type="dxa" w:w="110"/>
            </w:tcMar>
            <w:vAlign w:val="top"/>
          </w:tcPr>
          <w:p>
            <w:pPr>
              <w:keepNext w:val="false"/>
              <w:spacing w:after="40" w:line="250"/>
              <w:jc w:val="both"/>
            </w:pPr>
            <w:r>
              <w:rPr>
                <w:rFonts w:ascii="Arial" w:cs="Arial" w:eastAsia="Arial" w:hAnsi="Arial"/>
                <w:b/>
                <w:bCs/>
              </w:rPr>
              <w:t xml:space="preserve">Respuesta del auditor a los comentarios (con fecha)</w:t>
            </w:r>
          </w:p>
          <w:p>
            <w:pPr>
              <w:keepNext w:val="false"/>
              <w:spacing w:after="40" w:line="250"/>
              <w:jc w:val="left"/>
            </w:pPr>
            <w:r>
              <w:rPr>
                <w:rFonts w:ascii="Arial" w:cs="Arial" w:eastAsia="Arial" w:hAnsi="Arial"/>
                <w:b/>
                <w:bCs/>
              </w:rPr>
              <w:t xml:space="preserve"> </w:t>
            </w:r>
          </w:p>
          <w:p>
            <w:pPr>
              <w:keepNext w:val="false"/>
              <w:spacing w:after="40" w:line="250"/>
              <w:jc w:val="left"/>
            </w:pPr>
            <w:r>
              <w:rPr>
                <w:rFonts w:ascii="Arial" w:cs="Arial" w:eastAsia="Arial" w:hAnsi="Arial"/>
                <w:b/>
                <w:bCs/>
              </w:rPr>
              <w:t xml:space="preserve"> </w:t>
            </w:r>
          </w:p>
        </w:tc>
      </w:tr>
    </w:tbl>
    <w:p>
      <w:pPr>
        <w:spacing w:after="80"/>
      </w:pPr>
    </w:p>
    <w:sectPr>
      <w:headerReference w:type="default" r:id="rId6"/>
      <w:headerReference w:type="first" r:id="rId7"/>
      <w:footerReference w:type="default" r:id="rId8"/>
      <w:footerReference w:type="first" r:id="rId9"/>
      <w:pgSz w:w="12240" w:h="15840" w:orient="portrait"/>
      <w:pgMar w:top="1700" w:right="1440" w:bottom="1250" w:left="1440" w:header="560" w:footer="560" w:gutter="0"/>
      <w:pgNumTyp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C9D9" w:sz="6" w:space="4"/>
      </w:pBdr>
      <w:tabs>
        <w:tab w:val="right" w:pos="9360"/>
      </w:tabs>
    </w:pPr>
    <w:r>
      <w:rPr>
        <w:rFonts w:ascii="Arial" w:cs="Arial" w:eastAsia="Arial" w:hAnsi="Arial"/>
        <w:color w:val="6B7A8C"/>
        <w:sz w:val="16"/>
        <w:szCs w:val="16"/>
      </w:rPr>
      <w:t xml:space="preserve">Papeles de trabajo Assuran  ·  assuran.com.co</w:t>
    </w:r>
    <w:r>
      <w:rPr>
        <w:rFonts w:ascii="Arial" w:cs="Arial" w:eastAsia="Arial" w:hAnsi="Arial"/>
        <w:color w:val="6B7A8C"/>
        <w:sz w:val="16"/>
        <w:szCs w:val="16"/>
      </w:rPr>
      <w:t xml:space="preserve">	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C9D9" w:sz="6" w:space="4"/>
      </w:pBdr>
      <w:tabs>
        <w:tab w:val="right" w:pos="9360"/>
      </w:tabs>
    </w:pPr>
    <w:r>
      <w:rPr>
        <w:rFonts w:ascii="Arial" w:cs="Arial" w:eastAsia="Arial" w:hAnsi="Arial"/>
        <w:color w:val="6B7A8C"/>
        <w:sz w:val="16"/>
        <w:szCs w:val="16"/>
      </w:rPr>
      <w:t xml:space="preserve">Papeles de trabajo Assuran  ·  assuran.com.co</w:t>
    </w:r>
    <w:r>
      <w:rPr>
        <w:rFonts w:ascii="Arial" w:cs="Arial" w:eastAsia="Arial" w:hAnsi="Arial"/>
        <w:color w:val="6B7A8C"/>
        <w:sz w:val="16"/>
        <w:szCs w:val="16"/>
      </w:rPr>
      <w:t xml:space="preserve">	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FC9D9" w:sz="6" w:space="4"/>
      </w:pBdr>
      <w:tabs>
        <w:tab w:val="right" w:pos="9360"/>
      </w:tabs>
      <w:spacing w:after="0"/>
    </w:pPr>
    <w:r>
      <w:drawing>
        <wp:inline distT="0" distB="0" distL="0" distR="0">
          <wp:extent cx="438150" cy="367733"/>
          <wp:effectExtent t="0" r="0" b="0" l="0"/>
          <wp:docPr id="2" name="logo" descr="Logo de Assuran" title="Logo Assu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438150" cy="367733"/>
                  </a:xfrm>
                  <a:prstGeom prst="rect">
                    <a:avLst/>
                  </a:prstGeom>
                </pic:spPr>
              </pic:pic>
            </a:graphicData>
          </a:graphic>
        </wp:inline>
      </w:drawing>
    </w:r>
    <w:r>
      <w:rPr>
        <w:rFonts w:ascii="Arial" w:cs="Arial" w:eastAsia="Arial" w:hAnsi="Arial"/>
        <w:b/>
        <w:bCs/>
        <w:color w:val="6B7A8C"/>
        <w:sz w:val="18"/>
        <w:szCs w:val="18"/>
      </w:rPr>
      <w:t xml:space="preserve">   PAPEL DE TRABAJO  ·  PT-EEFF-30  ·  Carta de manifestaciones</w:t>
    </w:r>
    <w:r>
      <w:rPr>
        <w:rFonts w:ascii="Arial" w:cs="Arial" w:eastAsia="Arial" w:hAnsi="Arial"/>
        <w:color w:val="8A6A00"/>
        <w:sz w:val="18"/>
        <w:szCs w:val="18"/>
      </w:rPr>
      <w:t xml:space="preserve">	[Escriba el nombre de la firma]</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360"/>
      </w:tabs>
      <w:spacing w:after="0"/>
    </w:pPr>
    <w:r>
      <w:drawing>
        <wp:inline distT="0" distB="0" distL="0" distR="0">
          <wp:extent cx="990600" cy="831396"/>
          <wp:effectExtent t="0" r="0" b="0" l="0"/>
          <wp:docPr id="1" name="logo" descr="Logo de Assuran" title="Logo Assu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90600" cy="831396"/>
                  </a:xfrm>
                  <a:prstGeom prst="rect">
                    <a:avLst/>
                  </a:prstGeom>
                </pic:spPr>
              </pic:pic>
            </a:graphicData>
          </a:graphic>
        </wp:inline>
      </w:drawing>
    </w:r>
    <w:r>
      <w:rPr>
        <w:rFonts w:ascii="Arial" w:cs="Arial" w:eastAsia="Arial" w:hAnsi="Arial"/>
        <w:b/>
        <w:bCs/>
        <w:color w:val="2872FA"/>
        <w:sz w:val="22"/>
        <w:szCs w:val="22"/>
      </w:rPr>
      <w:t xml:space="preserve">	PAPEL DE TRABAJO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00" w:hanging="260"/>
      </w:pPr>
    </w:lvl>
  </w:abstractNum>
  <w:abstractNum w:abstractNumId="3" w15:restartNumberingAfterBreak="0">
    <w:multiLevelType w:val="hybridMultilevel"/>
    <w:lvl w:ilvl="0" w:tentative="1">
      <w:start w:val="1"/>
      <w:numFmt w:val="decimal"/>
      <w:lvlText w:val="%1."/>
      <w:lvlJc w:val="left"/>
      <w:pPr>
        <w:ind w:left="500" w:hanging="300"/>
      </w:pPr>
      <w:rPr>
        <w:b/>
        <w:bCs/>
        <w:color w:val="2872FA"/>
      </w:rPr>
    </w:lvl>
  </w:abstractNum>
  <w:abstractNum w:abstractNumId="4" w15:restartNumberingAfterBreak="0">
    <w:multiLevelType w:val="hybridMultilevel"/>
    <w:lvl w:ilvl="0" w:tentative="1">
      <w:start w:val="1"/>
      <w:numFmt w:val="decimal"/>
      <w:lvlText w:val="%1."/>
      <w:lvlJc w:val="left"/>
      <w:pPr>
        <w:ind w:left="500" w:hanging="300"/>
      </w:pPr>
      <w:rPr>
        <w:b/>
        <w:bCs/>
        <w:color w:val="2872FA"/>
      </w:rPr>
    </w:lvl>
  </w:abstractNum>
  <w:abstractNum w:abstractNumId="5" w15:restartNumberingAfterBreak="0">
    <w:multiLevelType w:val="hybridMultilevel"/>
    <w:lvl w:ilvl="0" w:tentative="1">
      <w:start w:val="1"/>
      <w:numFmt w:val="decimal"/>
      <w:lvlText w:val="%1."/>
      <w:lvlJc w:val="left"/>
      <w:pPr>
        <w:ind w:left="500" w:hanging="300"/>
      </w:pPr>
      <w:rPr>
        <w:b/>
        <w:bCs/>
        <w:color w:val="2872FA"/>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22B36"/>
        <w:sz w:val="24"/>
        <w:szCs w:val="24"/>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2872FA" w:sz="8" w:space="3"/>
      </w:pBdr>
      <w:spacing w:after="120" w:before="300"/>
      <w:outlineLvl w:val="0"/>
    </w:pPr>
    <w:rPr>
      <w:rFonts w:ascii="Arial" w:cs="Arial" w:eastAsia="Arial" w:hAnsi="Arial"/>
      <w:b/>
      <w:bCs/>
      <w:color w:val="1F2D3D"/>
      <w:sz w:val="28"/>
      <w:szCs w:val="28"/>
    </w:rPr>
  </w:style>
  <w:style w:type="paragraph" w:styleId="Heading2">
    <w:name w:val="Heading 2"/>
    <w:basedOn w:val="Normal"/>
    <w:next w:val="Normal"/>
    <w:qFormat/>
    <w:pPr>
      <w:spacing w:after="80" w:before="200"/>
      <w:outlineLvl w:val="1"/>
    </w:pPr>
    <w:rPr>
      <w:rFonts w:ascii="Arial" w:cs="Arial" w:eastAsia="Arial" w:hAnsi="Arial"/>
      <w:b/>
      <w:bCs/>
      <w:color w:val="2872FA"/>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theme" Target="theme/theme1.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6054dc1f0e5a37429f112081915dc881b801dbff.png"/></Relationships>
</file>

<file path=word/_rels/header2.xml.rels><?xml version="1.0" encoding="UTF-8"?><Relationships xmlns="http://schemas.openxmlformats.org/package/2006/relationships"><Relationship Id="rId0" Type="http://schemas.openxmlformats.org/officeDocument/2006/relationships/image" Target="media/6054dc1f0e5a37429f112081915dc881b801dbff.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Carta de manifestaciones — PT-EEFF-30</dc:title>
  <dc:creator>Assuran</dc:creator>
  <dc:description>Modelo de carta de manifestaciones de la administración (formato 26 de la GAF, NIA 580)</dc:description>
  <cp:lastModifiedBy>Un-named</cp:lastModifiedBy>
  <cp:revision>1</cp:revision>
  <dcterms:created xsi:type="dcterms:W3CDTF">2026-11-03T00:43:04.442Z</dcterms:created>
  <dcterms:modified xsi:type="dcterms:W3CDTF">2026-11-03T00:43:04.443Z</dcterms:modified>
</cp:coreProperties>
</file>

<file path=docProps/custom.xml><?xml version="1.0" encoding="utf-8"?>
<Properties xmlns="http://schemas.openxmlformats.org/officeDocument/2006/custom-properties" xmlns:vt="http://schemas.openxmlformats.org/officeDocument/2006/docPropsVTypes"/>
</file>