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PT-EEFF-01</w:t>
      </w:r>
    </w:p>
    <w:p>
      <w:pPr>
        <w:spacing w:after="60"/>
      </w:pPr>
      <w:r>
        <w:rPr>
          <w:rFonts w:ascii="Arial" w:cs="Arial" w:eastAsia="Arial" w:hAnsi="Arial"/>
          <w:b/>
          <w:bCs/>
          <w:color w:val="1F2D3D"/>
          <w:sz w:val="52"/>
          <w:szCs w:val="52"/>
        </w:rPr>
        <w:t xml:space="preserve">Carta de encargo</w:t>
      </w:r>
    </w:p>
    <w:p>
      <w:pPr>
        <w:spacing w:after="160"/>
      </w:pPr>
      <w:r>
        <w:rPr>
          <w:rFonts w:ascii="Arial" w:cs="Arial" w:eastAsia="Arial" w:hAnsi="Arial"/>
          <w:color w:val="2872FA"/>
          <w:sz w:val="24"/>
          <w:szCs w:val="24"/>
        </w:rPr>
        <w:t xml:space="preserve">Términos del encargo de auditoría de estados financieros o revisoría fiscal (NIA 210)</w:t>
      </w:r>
    </w:p>
    <w:p>
      <w:pPr>
        <w:spacing w:after="140" w:line="264"/>
        <w:jc w:val="both"/>
      </w:pPr>
      <w:r>
        <w:rPr>
          <w:rFonts w:ascii="Arial" w:cs="Arial" w:eastAsia="Arial" w:hAnsi="Arial"/>
          <w:color w:val="8A6A00"/>
          <w:shd w:fill="FFF4CC" w:color="auto" w:val="clear"/>
        </w:rPr>
        <w:t xml:space="preserve">[Complete los campos resaltados y borre lo que no aplique. Si el encargo es de revisoría fiscal, conserve la sección 6; si es de auditoría externa, elimínela. Persona natural: firme en nombre propio y lea “la Firma” como “yo”. Persona jurídica: firma el representante legal de la firma. La carta se firma antes de empezar el trabajo y se reconfirma cada año.]</w:t>
      </w:r>
    </w:p>
    <w:p>
      <w:pPr>
        <w:spacing w:after="14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[día]</w:t>
      </w:r>
      <w:r>
        <w:rPr>
          <w:rFonts w:ascii="Arial" w:cs="Arial" w:eastAsia="Arial" w:hAnsi="Arial"/>
        </w:rPr>
        <w:t xml:space="preserve"> de </w:t>
      </w:r>
      <w:r>
        <w:rPr>
          <w:rFonts w:ascii="Arial" w:cs="Arial" w:eastAsia="Arial" w:hAnsi="Arial"/>
          <w:color w:val="8A6A00"/>
          <w:shd w:fill="FFF4CC" w:color="auto" w:val="clear"/>
        </w:rPr>
        <w:t xml:space="preserve">[mes]</w:t>
      </w:r>
      <w:r>
        <w:rPr>
          <w:rFonts w:ascii="Arial" w:cs="Arial" w:eastAsia="Arial" w:hAnsi="Arial"/>
        </w:rPr>
        <w:t xml:space="preserve"> de </w:t>
      </w:r>
      <w:r>
        <w:rPr>
          <w:rFonts w:ascii="Arial" w:cs="Arial" w:eastAsia="Arial" w:hAnsi="Arial"/>
          <w:color w:val="8A6A00"/>
          <w:shd w:fill="FFF4CC" w:color="auto" w:val="clear"/>
        </w:rPr>
        <w:t xml:space="preserve">[año]</w:t>
      </w:r>
    </w:p>
    <w:p>
      <w:pPr>
        <w:spacing w:after="0" w:line="264"/>
        <w:jc w:val="left"/>
      </w:pPr>
      <w:r>
        <w:rPr>
          <w:rFonts w:ascii="Arial" w:cs="Arial" w:eastAsia="Arial" w:hAnsi="Arial"/>
        </w:rPr>
        <w:t xml:space="preserve">Señores</w:t>
      </w:r>
    </w:p>
    <w:p>
      <w:pPr>
        <w:spacing w:after="0" w:line="264"/>
        <w:jc w:val="left"/>
      </w:pPr>
      <w:r>
        <w:rPr>
          <w:rFonts w:ascii="Arial" w:cs="Arial" w:eastAsia="Arial" w:hAnsi="Arial"/>
          <w:color w:val="8A6A00"/>
          <w:shd w:fill="FFF4CC" w:color="auto" w:val="clear"/>
        </w:rPr>
        <w:t xml:space="preserve">[Nombre del representante legal]</w:t>
      </w:r>
      <w:r>
        <w:rPr>
          <w:rFonts w:ascii="Arial" w:cs="Arial" w:eastAsia="Arial" w:hAnsi="Arial"/>
        </w:rPr>
        <w:t xml:space="preserve"> y </w:t>
      </w:r>
      <w:r>
        <w:rPr>
          <w:rFonts w:ascii="Arial" w:cs="Arial" w:eastAsia="Arial" w:hAnsi="Arial"/>
          <w:color w:val="8A6A00"/>
          <w:shd w:fill="FFF4CC" w:color="auto" w:val="clear"/>
        </w:rPr>
        <w:t xml:space="preserve">[nombre del órgano de gobierno: junta directiva, junta de socios o asamblea]</w:t>
      </w:r>
    </w:p>
    <w:p>
      <w:pPr>
        <w:spacing w:after="0" w:line="264"/>
        <w:jc w:val="left"/>
      </w:pPr>
      <w:r>
        <w:rPr>
          <w:rFonts w:ascii="Arial" w:cs="Arial" w:eastAsia="Arial" w:hAnsi="Arial"/>
          <w:color w:val="8A6A00"/>
          <w:shd w:fill="FFF4CC" w:color="auto" w:val="clear"/>
        </w:rPr>
        <w:t xml:space="preserve">[Razón social del cliente]</w:t>
      </w:r>
      <w:r>
        <w:rPr>
          <w:rFonts w:ascii="Arial" w:cs="Arial" w:eastAsia="Arial" w:hAnsi="Arial"/>
        </w:rPr>
        <w:t xml:space="preserve">, NIT </w:t>
      </w:r>
      <w:r>
        <w:rPr>
          <w:rFonts w:ascii="Arial" w:cs="Arial" w:eastAsia="Arial" w:hAnsi="Arial"/>
          <w:color w:val="8A6A00"/>
          <w:shd w:fill="FFF4CC" w:color="auto" w:val="clear"/>
        </w:rPr>
        <w:t xml:space="preserve">[número]</w:t>
      </w:r>
    </w:p>
    <w:p>
      <w:pPr>
        <w:spacing w:after="140" w:line="264"/>
        <w:jc w:val="left"/>
      </w:pPr>
      <w:r>
        <w:rPr>
          <w:rFonts w:ascii="Arial" w:cs="Arial" w:eastAsia="Arial" w:hAnsi="Arial"/>
          <w:color w:val="8A6A00"/>
          <w:shd w:fill="FFF4CC" w:color="auto" w:val="clear"/>
        </w:rPr>
        <w:t xml:space="preserve">[Dirección y ciudad]</w:t>
      </w:r>
    </w:p>
    <w:p>
      <w:pPr>
        <w:spacing w:after="110" w:line="264"/>
        <w:jc w:val="left"/>
      </w:pPr>
      <w:r>
        <w:rPr>
          <w:rFonts w:ascii="Arial" w:cs="Arial" w:eastAsia="Arial" w:hAnsi="Arial"/>
          <w:b/>
          <w:bCs/>
        </w:rPr>
        <w:t xml:space="preserve">Asunto:</w:t>
      </w:r>
      <w:r>
        <w:rPr>
          <w:rFonts w:ascii="Arial" w:cs="Arial" w:eastAsia="Arial" w:hAnsi="Arial"/>
        </w:rPr>
        <w:t xml:space="preserve"> términos del encargo de </w:t>
      </w:r>
      <w:r>
        <w:rPr>
          <w:rFonts w:ascii="Arial" w:cs="Arial" w:eastAsia="Arial" w:hAnsi="Arial"/>
          <w:color w:val="8A6A00"/>
          <w:shd w:fill="FFF4CC" w:color="auto" w:val="clear"/>
        </w:rPr>
        <w:t xml:space="preserve">[auditoría de los estados financieros / revisoría fiscal]</w:t>
      </w:r>
      <w:r>
        <w:rPr>
          <w:rFonts w:ascii="Arial" w:cs="Arial" w:eastAsia="Arial" w:hAnsi="Arial"/>
        </w:rPr>
        <w:t xml:space="preserve"> del ejercicio terminado el 31 de diciembre de </w:t>
      </w:r>
      <w:r>
        <w:rPr>
          <w:rFonts w:ascii="Arial" w:cs="Arial" w:eastAsia="Arial" w:hAnsi="Arial"/>
          <w:color w:val="8A6A00"/>
          <w:shd w:fill="FFF4CC" w:color="auto" w:val="clear"/>
        </w:rPr>
        <w:t xml:space="preserve">[año]</w:t>
      </w:r>
    </w:p>
    <w:p>
      <w:pPr>
        <w:spacing w:after="110" w:line="264"/>
        <w:jc w:val="both"/>
      </w:pPr>
      <w:r>
        <w:rPr>
          <w:rFonts w:ascii="Arial" w:cs="Arial" w:eastAsia="Arial" w:hAnsi="Arial"/>
        </w:rPr>
        <w:t xml:space="preserve">Agradecemos la designación de </w:t>
      </w:r>
      <w:r>
        <w:rPr>
          <w:rFonts w:ascii="Arial" w:cs="Arial" w:eastAsia="Arial" w:hAnsi="Arial"/>
          <w:color w:val="8A6A00"/>
          <w:shd w:fill="FFF4CC" w:color="auto" w:val="clear"/>
        </w:rPr>
        <w:t xml:space="preserve">[nombre de la Firma o del profesional]</w:t>
      </w:r>
      <w:r>
        <w:rPr>
          <w:rFonts w:ascii="Arial" w:cs="Arial" w:eastAsia="Arial" w:hAnsi="Arial"/>
        </w:rPr>
        <w:t xml:space="preserve"> para el encargo del asunto. Esta carta recoge los términos acordados, de acuerdo con la NIA 210, y se firma antes de iniciar el trabajo para evitar malentendidos sobre el objetivo, el alcance y las responsabilidades de cada parte.</w:t>
      </w:r>
    </w:p>
    <w:p>
      <w:pPr>
        <w:pStyle w:val="Heading2"/>
        <w:keepNext/>
      </w:pPr>
      <w:r>
        <w:rPr>
          <w:rFonts w:ascii="Arial" w:cs="Arial" w:eastAsia="Arial" w:hAnsi="Arial"/>
        </w:rPr>
        <w:t xml:space="preserve">1. Objetivo y alcance</w:t>
      </w:r>
    </w:p>
    <w:p>
      <w:pPr>
        <w:spacing w:after="110" w:line="264"/>
        <w:jc w:val="both"/>
      </w:pPr>
      <w:r>
        <w:rPr>
          <w:rFonts w:ascii="Arial" w:cs="Arial" w:eastAsia="Arial" w:hAnsi="Arial"/>
        </w:rPr>
        <w:t xml:space="preserve">Auditaremos los estados financieros de </w:t>
      </w:r>
      <w:r>
        <w:rPr>
          <w:rFonts w:ascii="Arial" w:cs="Arial" w:eastAsia="Arial" w:hAnsi="Arial"/>
          <w:color w:val="8A6A00"/>
          <w:shd w:fill="FFF4CC" w:color="auto" w:val="clear"/>
        </w:rPr>
        <w:t xml:space="preserve">[razón social]</w:t>
      </w:r>
      <w:r>
        <w:rPr>
          <w:rFonts w:ascii="Arial" w:cs="Arial" w:eastAsia="Arial" w:hAnsi="Arial"/>
        </w:rPr>
        <w:t xml:space="preserve">, que comprenden el estado de situación financiera al 31 de diciembre de </w:t>
      </w:r>
      <w:r>
        <w:rPr>
          <w:rFonts w:ascii="Arial" w:cs="Arial" w:eastAsia="Arial" w:hAnsi="Arial"/>
          <w:color w:val="8A6A00"/>
          <w:shd w:fill="FFF4CC" w:color="auto" w:val="clear"/>
        </w:rPr>
        <w:t xml:space="preserve">[año]</w:t>
      </w:r>
      <w:r>
        <w:rPr>
          <w:rFonts w:ascii="Arial" w:cs="Arial" w:eastAsia="Arial" w:hAnsi="Arial"/>
        </w:rPr>
        <w:t xml:space="preserve">, el estado de resultados y otro resultado integral, el estado de cambios en el patrimonio, el estado de flujos de efectivo y las notas, incluido un resumen de las políticas contables significativas. El objetivo es expresar una opinión sobre si dichos estados financieros están preparados, en todos los aspectos materiales, de acuerdo con el marco de información financiera aplicable.</w:t>
      </w:r>
    </w:p>
    <w:p>
      <w:pPr>
        <w:pStyle w:val="Heading2"/>
        <w:keepNext/>
      </w:pPr>
      <w:r>
        <w:rPr>
          <w:rFonts w:ascii="Arial" w:cs="Arial" w:eastAsia="Arial" w:hAnsi="Arial"/>
        </w:rPr>
        <w:t xml:space="preserve">2. Marco de información financiera aplicable</w:t>
      </w:r>
    </w:p>
    <w:p>
      <w:pPr>
        <w:spacing w:after="110" w:line="264"/>
        <w:jc w:val="both"/>
      </w:pPr>
      <w:r>
        <w:rPr>
          <w:rFonts w:ascii="Arial" w:cs="Arial" w:eastAsia="Arial" w:hAnsi="Arial"/>
          <w:color w:val="8A6A00"/>
          <w:shd w:fill="FFF4CC" w:color="auto" w:val="clear"/>
        </w:rPr>
        <w:t xml:space="preserve">[Marque el que aplique: Normas de Contabilidad y de Información Financiera aceptadas en Colombia, Grupo 1 (NIIF plenas) / Grupo 2 (NIIF para pymes) / Grupo 3 (contabilidad simplificada), conforme a la Ley 1314 de 2009 y sus decretos reglamentarios.]</w:t>
      </w:r>
      <w:r>
        <w:rPr>
          <w:rFonts w:ascii="Arial" w:cs="Arial" w:eastAsia="Arial" w:hAnsi="Arial"/>
        </w:rPr>
        <w:t xml:space="preserve"> Concluimos que es un marco aceptable para los estados financieros de propósito general de la entidad.</w:t>
      </w:r>
    </w:p>
    <w:p>
      <w:pPr>
        <w:pStyle w:val="Heading2"/>
        <w:keepNext/>
      </w:pPr>
      <w:r>
        <w:rPr>
          <w:rFonts w:ascii="Arial" w:cs="Arial" w:eastAsia="Arial" w:hAnsi="Arial"/>
        </w:rPr>
        <w:t xml:space="preserve">3. Responsabilidades del auditor</w:t>
      </w:r>
    </w:p>
    <w:p>
      <w:pPr>
        <w:spacing w:after="110" w:line="264"/>
        <w:jc w:val="both"/>
      </w:pPr>
      <w:r>
        <w:rPr>
          <w:rFonts w:ascii="Arial" w:cs="Arial" w:eastAsia="Arial" w:hAnsi="Arial"/>
        </w:rPr>
        <w:t xml:space="preserve">Realizaremos la auditoría de acuerdo con las Normas Internacionales de Auditoría adoptadas en Colombia y con el Código de Ética aplicable. Estas normas exigen planear y ejecutar la auditoría para obtener una seguridad razonable de que los estados financieros están libres de incorrecciones materiales, debidas a fraude o error. Una auditoría implica aplicar procedimientos para obtener evidencia sobre los importes y las revelaciones, y se basa en el juicio y el escepticismo profesional del auditor.</w:t>
      </w:r>
    </w:p>
    <w:p>
      <w:pPr>
        <w:spacing w:after="110" w:line="264"/>
        <w:jc w:val="both"/>
      </w:pPr>
      <w:r>
        <w:rPr>
          <w:rFonts w:ascii="Arial" w:cs="Arial" w:eastAsia="Arial" w:hAnsi="Arial"/>
        </w:rPr>
        <w:t xml:space="preserve">Por las limitaciones inherentes de una auditoría y del control interno, existe un riesgo inevitable de que algunas incorrecciones materiales no se detecten, aunque la auditoría se planee y se ejecute de acuerdo con las NIA. No estamos obligados a detectar todos los fraudes ni los incumplimientos de leyes, pero comunicaremos por escrito a los encargados del gobierno las deficiencias significativas del control interno y los asuntos relevantes que identifiquemos.</w:t>
      </w:r>
    </w:p>
    <w:p>
      <w:pPr>
        <w:pStyle w:val="Heading2"/>
        <w:keepNext/>
      </w:pPr>
      <w:r>
        <w:rPr>
          <w:rFonts w:ascii="Arial" w:cs="Arial" w:eastAsia="Arial" w:hAnsi="Arial"/>
        </w:rPr>
        <w:t xml:space="preserve">4. Responsabilidades de la administración</w:t>
      </w:r>
    </w:p>
    <w:p>
      <w:pPr>
        <w:keepNext/>
        <w:spacing w:after="60" w:line="264"/>
        <w:jc w:val="both"/>
      </w:pPr>
      <w:r>
        <w:rPr>
          <w:rFonts w:ascii="Arial" w:cs="Arial" w:eastAsia="Arial" w:hAnsi="Arial"/>
        </w:rPr>
        <w:t xml:space="preserve">La administración es responsable de la preparación de los estados financieros de acuerdo con el marco aplicable y del control interno que considere necesario para que estén libres de incorrecciones materiales, debidas a fraude o error. Al aceptar esta carta, la administración reconoce además su responsabilidad de:</w:t>
      </w:r>
    </w:p>
    <w:p>
      <w:pPr>
        <w:pStyle w:val="ListParagraph"/>
        <w:numPr>
          <w:ilvl w:val="0"/>
          <w:numId w:val="2"/>
        </w:numPr>
        <w:spacing w:after="60" w:line="260"/>
        <w:jc w:val="both"/>
      </w:pPr>
      <w:r>
        <w:rPr>
          <w:rFonts w:ascii="Arial" w:cs="Arial" w:eastAsia="Arial" w:hAnsi="Arial"/>
        </w:rPr>
        <w:t xml:space="preserve">Darnos acceso sin restricciones a los registros, la documentación y demás información relevante, y a las personas de la entidad de quienes necesitemos evidencia.</w:t>
      </w:r>
    </w:p>
    <w:p>
      <w:pPr>
        <w:pStyle w:val="ListParagraph"/>
        <w:numPr>
          <w:ilvl w:val="0"/>
          <w:numId w:val="2"/>
        </w:numPr>
        <w:spacing w:after="60" w:line="260"/>
        <w:jc w:val="both"/>
      </w:pPr>
      <w:r>
        <w:rPr>
          <w:rFonts w:ascii="Arial" w:cs="Arial" w:eastAsia="Arial" w:hAnsi="Arial"/>
        </w:rPr>
        <w:t xml:space="preserve">Entregarnos los borradores de los estados financieros y toda la información para prepararlos con tiempo suficiente para cumplir el cronograma.</w:t>
      </w:r>
    </w:p>
    <w:p>
      <w:pPr>
        <w:pStyle w:val="ListParagraph"/>
        <w:numPr>
          <w:ilvl w:val="0"/>
          <w:numId w:val="2"/>
        </w:numPr>
        <w:spacing w:after="60" w:line="260"/>
        <w:jc w:val="both"/>
      </w:pPr>
      <w:r>
        <w:rPr>
          <w:rFonts w:ascii="Arial" w:cs="Arial" w:eastAsia="Arial" w:hAnsi="Arial"/>
        </w:rPr>
        <w:t xml:space="preserve">Informarnos sobre hechos posteriores o conocidos después de la fecha del informe que puedan afectar los estados financieros.</w:t>
      </w:r>
    </w:p>
    <w:p>
      <w:pPr>
        <w:pStyle w:val="ListParagraph"/>
        <w:numPr>
          <w:ilvl w:val="0"/>
          <w:numId w:val="2"/>
        </w:numPr>
        <w:spacing w:after="60" w:line="260"/>
        <w:jc w:val="both"/>
      </w:pPr>
      <w:r>
        <w:rPr>
          <w:rFonts w:ascii="Arial" w:cs="Arial" w:eastAsia="Arial" w:hAnsi="Arial"/>
        </w:rPr>
        <w:t xml:space="preserve">Identificar y revelar las partes vinculadas y las transacciones con ellas.</w:t>
      </w:r>
    </w:p>
    <w:p>
      <w:pPr>
        <w:pStyle w:val="ListParagraph"/>
        <w:numPr>
          <w:ilvl w:val="0"/>
          <w:numId w:val="2"/>
        </w:numPr>
        <w:spacing w:after="60" w:line="260"/>
        <w:jc w:val="both"/>
      </w:pPr>
      <w:r>
        <w:rPr>
          <w:rFonts w:ascii="Arial" w:cs="Arial" w:eastAsia="Arial" w:hAnsi="Arial"/>
        </w:rPr>
        <w:t xml:space="preserve">Informarnos sobre fraudes conocidos o presuntos, incumplimientos de leyes y reclamaciones o litigios.</w:t>
      </w:r>
    </w:p>
    <w:p>
      <w:pPr>
        <w:pStyle w:val="ListParagraph"/>
        <w:numPr>
          <w:ilvl w:val="0"/>
          <w:numId w:val="2"/>
        </w:numPr>
        <w:spacing w:after="140" w:line="260"/>
        <w:jc w:val="both"/>
      </w:pPr>
      <w:r>
        <w:rPr>
          <w:rFonts w:ascii="Arial" w:cs="Arial" w:eastAsia="Arial" w:hAnsi="Arial"/>
        </w:rPr>
        <w:t xml:space="preserve">Entregarnos una carta de manifestaciones escritas firmada al finalizar la auditoría.</w:t>
      </w:r>
    </w:p>
    <w:p>
      <w:pPr>
        <w:pStyle w:val="Heading2"/>
        <w:keepNext/>
      </w:pPr>
      <w:r>
        <w:rPr>
          <w:rFonts w:ascii="Arial" w:cs="Arial" w:eastAsia="Arial" w:hAnsi="Arial"/>
        </w:rPr>
        <w:t xml:space="preserve">5. Informe esperado</w:t>
      </w:r>
    </w:p>
    <w:p>
      <w:pPr>
        <w:spacing w:after="110" w:line="264"/>
        <w:jc w:val="both"/>
      </w:pPr>
      <w:r>
        <w:rPr>
          <w:rFonts w:ascii="Arial" w:cs="Arial" w:eastAsia="Arial" w:hAnsi="Arial"/>
        </w:rPr>
        <w:t xml:space="preserve">Emitiremos un informe de auditoría de acuerdo con la NIA 700 (y la NIA 701 cuando aplique), dirigido a </w:t>
      </w:r>
      <w:r>
        <w:rPr>
          <w:rFonts w:ascii="Arial" w:cs="Arial" w:eastAsia="Arial" w:hAnsi="Arial"/>
          <w:color w:val="8A6A00"/>
          <w:shd w:fill="FFF4CC" w:color="auto" w:val="clear"/>
        </w:rPr>
        <w:t xml:space="preserve">[la asamblea o junta]</w:t>
      </w:r>
      <w:r>
        <w:rPr>
          <w:rFonts w:ascii="Arial" w:cs="Arial" w:eastAsia="Arial" w:hAnsi="Arial"/>
        </w:rPr>
        <w:t xml:space="preserve">. Puede haber circunstancias en las que el informe difiera de la forma y contenido esperados, por ejemplo, una opinión modificada, un párrafo de énfasis o de otros asuntos, o la imposibilidad de emitir opinión. También emitiremos las comunicaciones a los encargados del gobierno que exigen las NIA 260 y 265.</w:t>
      </w:r>
    </w:p>
    <w:p>
      <w:pPr>
        <w:pStyle w:val="Heading2"/>
        <w:keepNext/>
      </w:pPr>
      <w:r>
        <w:rPr>
          <w:rFonts w:ascii="Arial" w:cs="Arial" w:eastAsia="Arial" w:hAnsi="Arial"/>
        </w:rPr>
        <w:t xml:space="preserve">6. Responsabilidades adicionales del revisor fiscal</w:t>
      </w:r>
    </w:p>
    <w:p>
      <w:pPr>
        <w:spacing w:after="110" w:line="264"/>
        <w:jc w:val="both"/>
      </w:pPr>
      <w:r>
        <w:rPr>
          <w:rFonts w:ascii="Arial" w:cs="Arial" w:eastAsia="Arial" w:hAnsi="Arial"/>
          <w:color w:val="8A6A00"/>
          <w:shd w:fill="FFF4CC" w:color="auto" w:val="clear"/>
        </w:rPr>
        <w:t xml:space="preserve">[Solo si el encargo es de revisoría fiscal. Además de la opinión sobre los estados financieros, y de acuerdo con el artículo 207 del Código de Comercio, la Ley 43 de 1990 y la Ley 222 de 1995, nos corresponde: dar cuenta oportuna de las irregularidades; verificar que las operaciones se ajusten a los estatutos y a las decisiones de la asamblea y de la junta; velar por que la contabilidad, las actas y los libros se lleven y conserven debidamente; inspeccionar los bienes y asegurar medidas de conservación y custodia; revisar el control interno; autorizar con su firma los balances y dictaminarlos; y rendir informes a la asamblea. Estas funciones se reportan por separado del informe de auditoría. Verifique los requisitos vigentes de cada informe y del cumplimiento de normas sobre aportes al Sistema de Seguridad Social y la gestión del riesgo de lavado de activos.]</w:t>
      </w:r>
    </w:p>
    <w:p>
      <w:pPr>
        <w:pStyle w:val="Heading2"/>
        <w:keepNext/>
      </w:pPr>
      <w:r>
        <w:rPr>
          <w:rFonts w:ascii="Arial" w:cs="Arial" w:eastAsia="Arial" w:hAnsi="Arial"/>
        </w:rPr>
        <w:t xml:space="preserve">7. Equipo, planeación y tiempos</w:t>
      </w:r>
    </w:p>
    <w:p>
      <w:pPr>
        <w:spacing w:after="110" w:line="264"/>
        <w:jc w:val="both"/>
      </w:pPr>
      <w:r>
        <w:rPr>
          <w:rFonts w:ascii="Arial" w:cs="Arial" w:eastAsia="Arial" w:hAnsi="Arial"/>
        </w:rPr>
        <w:t xml:space="preserve">El trabajo lo dirigirá </w:t>
      </w:r>
      <w:r>
        <w:rPr>
          <w:rFonts w:ascii="Arial" w:cs="Arial" w:eastAsia="Arial" w:hAnsi="Arial"/>
          <w:color w:val="8A6A00"/>
          <w:shd w:fill="FFF4CC" w:color="auto" w:val="clear"/>
        </w:rPr>
        <w:t xml:space="preserve">[nombre del responsable del encargo]</w:t>
      </w:r>
      <w:r>
        <w:rPr>
          <w:rFonts w:ascii="Arial" w:cs="Arial" w:eastAsia="Arial" w:hAnsi="Arial"/>
        </w:rPr>
        <w:t xml:space="preserve">. El equipo se compone de </w:t>
      </w:r>
      <w:r>
        <w:rPr>
          <w:rFonts w:ascii="Arial" w:cs="Arial" w:eastAsia="Arial" w:hAnsi="Arial"/>
          <w:color w:val="8A6A00"/>
          <w:shd w:fill="FFF4CC" w:color="auto" w:val="clear"/>
        </w:rPr>
        <w:t xml:space="preserve">[número]</w:t>
      </w:r>
      <w:r>
        <w:rPr>
          <w:rFonts w:ascii="Arial" w:cs="Arial" w:eastAsia="Arial" w:hAnsi="Arial"/>
        </w:rPr>
        <w:t xml:space="preserve"> profesionales, y </w:t>
      </w:r>
      <w:r>
        <w:rPr>
          <w:rFonts w:ascii="Arial" w:cs="Arial" w:eastAsia="Arial" w:hAnsi="Arial"/>
          <w:color w:val="8A6A00"/>
          <w:shd w:fill="FFF4CC" w:color="auto" w:val="clear"/>
        </w:rPr>
        <w:t xml:space="preserve">[cuando aplique, indique si se contratarán expertos u otros auditores]</w:t>
      </w:r>
      <w:r>
        <w:rPr>
          <w:rFonts w:ascii="Arial" w:cs="Arial" w:eastAsia="Arial" w:hAnsi="Arial"/>
        </w:rPr>
        <w:t xml:space="preserve">. Entregaremos la planeación a los encargados del gobierno y trabajaremos según el cronograma que acordemos. La administración nos suministrará la información inicial de la lista que adjuntamos a la carta de inicio (PT-EEFF-02), con las fechas que allí se señalan.</w:t>
      </w:r>
    </w:p>
    <w:p>
      <w:pPr>
        <w:pStyle w:val="Heading2"/>
        <w:keepNext/>
      </w:pPr>
      <w:r>
        <w:rPr>
          <w:rFonts w:ascii="Arial" w:cs="Arial" w:eastAsia="Arial" w:hAnsi="Arial"/>
        </w:rPr>
        <w:t xml:space="preserve">8. Honorarios y facturación</w:t>
      </w:r>
    </w:p>
    <w:p>
      <w:pPr>
        <w:spacing w:after="110" w:line="264"/>
        <w:jc w:val="both"/>
      </w:pPr>
      <w:r>
        <w:rPr>
          <w:rFonts w:ascii="Arial" w:cs="Arial" w:eastAsia="Arial" w:hAnsi="Arial"/>
        </w:rPr>
        <w:t xml:space="preserve">Los honorarios son de $</w:t>
      </w:r>
      <w:r>
        <w:rPr>
          <w:rFonts w:ascii="Arial" w:cs="Arial" w:eastAsia="Arial" w:hAnsi="Arial"/>
          <w:color w:val="8A6A00"/>
          <w:shd w:fill="FFF4CC" w:color="auto" w:val="clear"/>
        </w:rPr>
        <w:t xml:space="preserve">[valor]</w:t>
      </w:r>
      <w:r>
        <w:rPr>
          <w:rFonts w:ascii="Arial" w:cs="Arial" w:eastAsia="Arial" w:hAnsi="Arial"/>
        </w:rPr>
        <w:t xml:space="preserve"> </w:t>
      </w:r>
      <w:r>
        <w:rPr>
          <w:rFonts w:ascii="Arial" w:cs="Arial" w:eastAsia="Arial" w:hAnsi="Arial"/>
          <w:color w:val="8A6A00"/>
          <w:shd w:fill="FFF4CC" w:color="auto" w:val="clear"/>
        </w:rPr>
        <w:t xml:space="preserve">[más IVA]</w:t>
      </w:r>
      <w:r>
        <w:rPr>
          <w:rFonts w:ascii="Arial" w:cs="Arial" w:eastAsia="Arial" w:hAnsi="Arial"/>
        </w:rPr>
        <w:t xml:space="preserve">, pagaderos así: </w:t>
      </w:r>
      <w:r>
        <w:rPr>
          <w:rFonts w:ascii="Arial" w:cs="Arial" w:eastAsia="Arial" w:hAnsi="Arial"/>
          <w:color w:val="8A6A00"/>
          <w:shd w:fill="FFF4CC" w:color="auto" w:val="clear"/>
        </w:rPr>
        <w:t xml:space="preserve">[forma y fechas de pago]</w:t>
      </w:r>
      <w:r>
        <w:rPr>
          <w:rFonts w:ascii="Arial" w:cs="Arial" w:eastAsia="Arial" w:hAnsi="Arial"/>
        </w:rPr>
        <w:t xml:space="preserve">. Se basan en el tiempo estimado del equipo y no dependen del resultado del encargo (no hay honorarios contingentes). Si cambian el alcance o la complejidad, o se requieren horas adicionales por información entregada tarde o por hechos nuevos, lo acordaremos por escrito antes de facturar el ajuste. Los gastos de </w:t>
      </w:r>
      <w:r>
        <w:rPr>
          <w:rFonts w:ascii="Arial" w:cs="Arial" w:eastAsia="Arial" w:hAnsi="Arial"/>
          <w:color w:val="8A6A00"/>
          <w:shd w:fill="FFF4CC" w:color="auto" w:val="clear"/>
        </w:rPr>
        <w:t xml:space="preserve">[viáticos, desplazamientos]</w:t>
      </w:r>
      <w:r>
        <w:rPr>
          <w:rFonts w:ascii="Arial" w:cs="Arial" w:eastAsia="Arial" w:hAnsi="Arial"/>
        </w:rPr>
        <w:t xml:space="preserve"> se </w:t>
      </w:r>
      <w:r>
        <w:rPr>
          <w:rFonts w:ascii="Arial" w:cs="Arial" w:eastAsia="Arial" w:hAnsi="Arial"/>
          <w:color w:val="8A6A00"/>
          <w:shd w:fill="FFF4CC" w:color="auto" w:val="clear"/>
        </w:rPr>
        <w:t xml:space="preserve">[facturan al costo / están incluidos]</w:t>
      </w:r>
      <w:r>
        <w:rPr>
          <w:rFonts w:ascii="Arial" w:cs="Arial" w:eastAsia="Arial" w:hAnsi="Arial"/>
        </w:rPr>
        <w:t xml:space="preserve">.</w:t>
      </w:r>
    </w:p>
    <w:p>
      <w:pPr>
        <w:pStyle w:val="Heading2"/>
        <w:keepNext/>
      </w:pPr>
      <w:r>
        <w:rPr>
          <w:rFonts w:ascii="Arial" w:cs="Arial" w:eastAsia="Arial" w:hAnsi="Arial"/>
        </w:rPr>
        <w:t xml:space="preserve">9. Confidencialidad, datos personales y papeles de trabajo</w:t>
      </w:r>
    </w:p>
    <w:p>
      <w:pPr>
        <w:spacing w:after="110" w:line="264"/>
        <w:jc w:val="both"/>
      </w:pPr>
      <w:r>
        <w:rPr>
          <w:rFonts w:ascii="Arial" w:cs="Arial" w:eastAsia="Arial" w:hAnsi="Arial"/>
        </w:rPr>
        <w:t xml:space="preserve">Mantendremos la confidencialidad de la información obtenida (PT-CALIDAD-04) y la trataremos conforme a la Ley 1581 de 2012. Los papeles de trabajo son propiedad de </w:t>
      </w:r>
      <w:r>
        <w:rPr>
          <w:rFonts w:ascii="Arial" w:cs="Arial" w:eastAsia="Arial" w:hAnsi="Arial"/>
          <w:color w:val="8A6A00"/>
          <w:shd w:fill="FFF4CC" w:color="auto" w:val="clear"/>
        </w:rPr>
        <w:t xml:space="preserve">[la Firma]</w:t>
      </w:r>
      <w:r>
        <w:rPr>
          <w:rFonts w:ascii="Arial" w:cs="Arial" w:eastAsia="Arial" w:hAnsi="Arial"/>
        </w:rPr>
        <w:t xml:space="preserve"> y se conservan por </w:t>
      </w:r>
      <w:r>
        <w:rPr>
          <w:rFonts w:ascii="Arial" w:cs="Arial" w:eastAsia="Arial" w:hAnsi="Arial"/>
          <w:color w:val="8A6A00"/>
          <w:shd w:fill="FFF4CC" w:color="auto" w:val="clear"/>
        </w:rPr>
        <w:t xml:space="preserve">[10]</w:t>
      </w:r>
      <w:r>
        <w:rPr>
          <w:rFonts w:ascii="Arial" w:cs="Arial" w:eastAsia="Arial" w:hAnsi="Arial"/>
        </w:rPr>
        <w:t xml:space="preserve"> años. Solo los entregaremos cuando la ley o una autoridad competente lo exijan, o con su autorización y el cumplimiento de las normas profesionales.</w:t>
      </w:r>
    </w:p>
    <w:p>
      <w:pPr>
        <w:pStyle w:val="Heading2"/>
        <w:keepNext/>
      </w:pPr>
      <w:r>
        <w:rPr>
          <w:rFonts w:ascii="Arial" w:cs="Arial" w:eastAsia="Arial" w:hAnsi="Arial"/>
        </w:rPr>
        <w:t xml:space="preserve">10. Limitación de responsabilidad y solución de controversias</w:t>
      </w:r>
    </w:p>
    <w:p>
      <w:pPr>
        <w:spacing w:after="110" w:line="264"/>
        <w:jc w:val="both"/>
      </w:pPr>
      <w:r>
        <w:rPr>
          <w:rFonts w:ascii="Arial" w:cs="Arial" w:eastAsia="Arial" w:hAnsi="Arial"/>
          <w:color w:val="8A6A00"/>
          <w:shd w:fill="FFF4CC" w:color="auto" w:val="clear"/>
        </w:rPr>
        <w:t xml:space="preserve">[Si lo acuerdan, incluya aquí cualquier limitación de responsabilidad, siempre que sea compatible con la ley colombiana y con las normas profesionales. Las controversias se resolverán mediante [conciliación / arbitraje / jurisdicción ordinaria]</w:t>
      </w:r>
      <w:r>
        <w:rPr>
          <w:rFonts w:ascii="Arial" w:cs="Arial" w:eastAsia="Arial" w:hAnsi="Arial"/>
        </w:rPr>
        <w:t xml:space="preserve"> en </w:t>
      </w:r>
      <w:r>
        <w:rPr>
          <w:rFonts w:ascii="Arial" w:cs="Arial" w:eastAsia="Arial" w:hAnsi="Arial"/>
          <w:color w:val="8A6A00"/>
          <w:shd w:fill="FFF4CC" w:color="auto" w:val="clear"/>
        </w:rPr>
        <w:t xml:space="preserve">[ciudad]</w:t>
      </w:r>
      <w:r>
        <w:rPr>
          <w:rFonts w:ascii="Arial" w:cs="Arial" w:eastAsia="Arial" w:hAnsi="Arial"/>
        </w:rPr>
        <w:t xml:space="preserve">.]</w:t>
      </w:r>
    </w:p>
    <w:p>
      <w:pPr>
        <w:pStyle w:val="Heading2"/>
        <w:keepNext/>
      </w:pPr>
      <w:r>
        <w:rPr>
          <w:rFonts w:ascii="Arial" w:cs="Arial" w:eastAsia="Arial" w:hAnsi="Arial"/>
        </w:rPr>
        <w:t xml:space="preserve">11. Vigencia</w:t>
      </w:r>
    </w:p>
    <w:p>
      <w:pPr>
        <w:spacing w:after="110" w:line="264"/>
        <w:jc w:val="both"/>
      </w:pPr>
      <w:r>
        <w:rPr>
          <w:rFonts w:ascii="Arial" w:cs="Arial" w:eastAsia="Arial" w:hAnsi="Arial"/>
        </w:rPr>
        <w:t xml:space="preserve">Esta carta rige para el ejercicio </w:t>
      </w:r>
      <w:r>
        <w:rPr>
          <w:rFonts w:ascii="Arial" w:cs="Arial" w:eastAsia="Arial" w:hAnsi="Arial"/>
          <w:color w:val="8A6A00"/>
          <w:shd w:fill="FFF4CC" w:color="auto" w:val="clear"/>
        </w:rPr>
        <w:t xml:space="preserve">[año]</w:t>
      </w:r>
      <w:r>
        <w:rPr>
          <w:rFonts w:ascii="Arial" w:cs="Arial" w:eastAsia="Arial" w:hAnsi="Arial"/>
        </w:rPr>
        <w:t xml:space="preserve"> y se mantiene en los siguientes períodos mientras no cambien los términos o las circunstancias. Cada año evaluaremos si hay que modificarla (por ejemplo, por un cambio de administración, de propiedad, de marco contable, del tamaño o la naturaleza del negocio, o de requisitos legales) y, si no cambia, le recordaremos los términos vigentes.</w:t>
      </w:r>
    </w:p>
    <w:p>
      <w:pPr>
        <w:spacing w:after="110" w:line="264"/>
        <w:jc w:val="both"/>
      </w:pPr>
      <w:r>
        <w:rPr>
          <w:rFonts w:ascii="Arial" w:cs="Arial" w:eastAsia="Arial" w:hAnsi="Arial"/>
        </w:rPr>
        <w:t xml:space="preserve">Le solicitamos firmar y devolvernos la copia de esta carta para confirmar que está de acuerdo con los términos.</w:t>
      </w:r>
    </w:p>
    <w:p>
      <w:pPr>
        <w:spacing w:after="140" w:line="264"/>
        <w:jc w:val="left"/>
      </w:pPr>
      <w:r>
        <w:rPr>
          <w:rFonts w:ascii="Arial" w:cs="Arial" w:eastAsia="Arial" w:hAnsi="Arial"/>
        </w:rPr>
        <w:t xml:space="preserve">Cordialmente,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Por </w:t>
            </w:r>
            <w:r>
              <w:rPr>
                <w:rFonts w:ascii="Arial" w:cs="Arial" w:eastAsia="Arial" w:hAnsi="Arial"/>
                <w:b/>
                <w:bCs/>
                <w:color w:val="8A6A00"/>
                <w:shd w:fill="FFF4CC" w:color="auto" w:val="clear"/>
              </w:rPr>
              <w:t xml:space="preserve">[nombre de la Firma o del profesional]</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Nombre, documento y fecha:</w:t>
            </w:r>
          </w:p>
        </w:tc>
        <w:tc>
          <w:tcPr>
            <w:tcW w:type="dxa" w:w="468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Aceptado por </w:t>
            </w:r>
            <w:r>
              <w:rPr>
                <w:rFonts w:ascii="Arial" w:cs="Arial" w:eastAsia="Arial" w:hAnsi="Arial"/>
                <w:b/>
                <w:bCs/>
                <w:color w:val="8A6A00"/>
                <w:shd w:fill="FFF4CC" w:color="auto" w:val="clear"/>
              </w:rPr>
              <w:t xml:space="preserve">[razón social]</w:t>
            </w:r>
            <w:r>
              <w:rPr>
                <w:rFonts w:ascii="Arial" w:cs="Arial" w:eastAsia="Arial" w:hAnsi="Arial"/>
                <w:b/>
                <w:bCs/>
              </w:rPr>
              <w:t xml:space="preserve">, representante legal</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Nombre, documento y fecha:</w:t>
            </w:r>
          </w:p>
        </w:tc>
      </w:tr>
    </w:tbl>
    <w:p>
      <w:pPr>
        <w:spacing w:after="100"/>
      </w:pPr>
    </w:p>
    <w:p>
      <w:pPr>
        <w:pStyle w:val="Heading2"/>
        <w:keepNext/>
      </w:pPr>
      <w:r>
        <w:rPr>
          <w:rFonts w:ascii="Arial" w:cs="Arial" w:eastAsia="Arial" w:hAnsi="Arial"/>
        </w:rPr>
        <w:t xml:space="preserve">Verificación del auditor (NIA 210.6)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6"/>
        <w:gridCol w:w="3744"/>
      </w:tblGrid>
      <w:tr>
        <w:trPr>
          <w:cantSplit/>
          <w:tblHeader/>
        </w:trPr>
        <w:tc>
          <w:tcPr>
            <w:tcW w:type="dxa" w:w="5616"/>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Condición previa</w:t>
            </w:r>
          </w:p>
        </w:tc>
        <w:tc>
          <w:tcPr>
            <w:tcW w:type="dxa" w:w="374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Cumple (Sí / No) y referencia</w:t>
            </w:r>
          </w:p>
        </w:tc>
      </w:tr>
      <w:tr>
        <w:trPr>
          <w:cantSplit/>
        </w:trPr>
        <w:tc>
          <w:tcPr>
            <w:tcW w:type="dxa" w:w="561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El marco de información financiera aplicable es aceptable.</w:t>
            </w:r>
          </w:p>
        </w:tc>
        <w:tc>
          <w:tcPr>
            <w:tcW w:type="dxa" w:w="374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561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La administración reconoce y entiende su responsabilidad por los estados financieros, el control interno y el acceso a la información.</w:t>
            </w:r>
          </w:p>
        </w:tc>
        <w:tc>
          <w:tcPr>
            <w:tcW w:type="dxa" w:w="374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561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Se cumplieron los pasos de aceptación y ética (PT-CALIDAD-06 o 07 y declaración de independencia).</w:t>
            </w:r>
          </w:p>
        </w:tc>
        <w:tc>
          <w:tcPr>
            <w:tcW w:type="dxa" w:w="374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561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No hay limitaciones al alcance impuestas por la administración.</w:t>
            </w:r>
          </w:p>
        </w:tc>
        <w:tc>
          <w:tcPr>
            <w:tcW w:type="dxa" w:w="374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561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La carta fue firmada antes de iniciar el trabajo.</w:t>
            </w:r>
          </w:p>
        </w:tc>
        <w:tc>
          <w:tcPr>
            <w:tcW w:type="dxa" w:w="374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PT-EEFF-01  ·  Carta de encargo</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encargo — PT-EEFF-01</dc:title>
  <dc:creator>Assuran</dc:creator>
  <dc:description>Carta de encargo de auditoría de estados financieros o revisoría fiscal (NIA 210)</dc:description>
  <cp:lastModifiedBy>Un-named</cp:lastModifiedBy>
  <cp:revision>1</cp:revision>
  <dcterms:created xsi:type="dcterms:W3CDTF">2026-11-03T00:24:21.317Z</dcterms:created>
  <dcterms:modified xsi:type="dcterms:W3CDTF">2026-11-03T00:24:21.318Z</dcterms:modified>
</cp:coreProperties>
</file>

<file path=docProps/custom.xml><?xml version="1.0" encoding="utf-8"?>
<Properties xmlns="http://schemas.openxmlformats.org/officeDocument/2006/custom-properties" xmlns:vt="http://schemas.openxmlformats.org/officeDocument/2006/docPropsVTypes"/>
</file>