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PT-EEFF-00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Guía de auditoría de estados financieros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Metodología basada en riesgos para revisores fiscales y auditores independientes</w:t>
      </w:r>
    </w:p>
    <w:p>
      <w:pPr>
        <w:spacing w:after="14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[Persona natural (ejerciente individual): lea “el equipo” como “yo” y use solo los papeles que le apliquen. Persona jurídica: use la guía completa y asigne los roles de socio, supervisor y auditores.]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Profesional o firma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nombre]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Versión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la versión, por ejemplo 2026.1]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Aprobada por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nombre y cargo]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Fecha de aprobación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la fecha]</w:t>
            </w:r>
          </w:p>
        </w:tc>
      </w:tr>
    </w:tbl>
    <w:p>
      <w:pPr>
        <w:spacing w:after="80"/>
      </w:pPr>
    </w:p>
    <w:p>
      <w:pPr>
        <w:pStyle w:val="Heading1"/>
        <w:keepNext/>
      </w:pPr>
      <w:r>
        <w:rPr>
          <w:rFonts w:ascii="Arial" w:cs="Arial" w:eastAsia="Arial" w:hAnsi="Arial"/>
        </w:rPr>
        <w:t xml:space="preserve">1. Para qué sirve esta guía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Esta guía explica, paso a paso, cómo se planea, se ejecuta y se informa una auditoría de estados financieros o una revisoría fiscal con enfoque basado en riesgos. Usa dos fuentes: la </w:t>
      </w:r>
      <w:r>
        <w:rPr>
          <w:rFonts w:ascii="Arial" w:cs="Arial" w:eastAsia="Arial" w:hAnsi="Arial"/>
          <w:b/>
          <w:bCs/>
        </w:rPr>
        <w:t xml:space="preserve">Guía de la IFAC para usar las NIA en la auditoría de pequeñas y medianas entidades</w:t>
      </w:r>
      <w:r>
        <w:rPr>
          <w:rFonts w:ascii="Arial" w:cs="Arial" w:eastAsia="Arial" w:hAnsi="Arial"/>
        </w:rPr>
        <w:t xml:space="preserve"> (volúmenes I y II, cuarta edición) para los conceptos, y la </w:t>
      </w:r>
      <w:r>
        <w:rPr>
          <w:rFonts w:ascii="Arial" w:cs="Arial" w:eastAsia="Arial" w:hAnsi="Arial"/>
          <w:b/>
          <w:bCs/>
        </w:rPr>
        <w:t xml:space="preserve">Guía de Auditoría Financiera (GAF) de la Contraloría General de la República</w:t>
      </w:r>
      <w:r>
        <w:rPr>
          <w:rFonts w:ascii="Arial" w:cs="Arial" w:eastAsia="Arial" w:hAnsi="Arial"/>
        </w:rPr>
        <w:t xml:space="preserve"> para la metodología, los pasos y los formatos. Los formatos de la Contraloría se adaptaron al sector privado: se eliminaron las referencias presupuestales y de control fiscal y se ajustaron a las NIA, a las normas colombianas de contabilidad y de aseguramiento de la información y a la práctica del revisor fiscal.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Cada paso tiene su papel de trabajo en la página Papeles de trabajo Assuran, con la referencia PT-EEFF. La guía es PT-EEFF-00; los papeles de la planeación van de PT-EEFF-01 en adelante.</w:t>
      </w:r>
    </w:p>
    <w:p>
      <w:pPr>
        <w:pStyle w:val="Heading1"/>
        <w:keepNext/>
      </w:pPr>
      <w:r>
        <w:rPr>
          <w:rFonts w:ascii="Arial" w:cs="Arial" w:eastAsia="Arial" w:hAnsi="Arial"/>
        </w:rPr>
        <w:t xml:space="preserve">2. Marco normativo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460"/>
      </w:tblGrid>
      <w:tr>
        <w:trPr>
          <w:cantSplit/>
          <w:tblHeader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Norma</w:t>
            </w:r>
          </w:p>
        </w:tc>
        <w:tc>
          <w:tcPr>
            <w:tcW w:type="dxa" w:w="64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Para qué se usa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Normas Internacionales de Auditoría (NIA)</w:t>
            </w:r>
          </w:p>
        </w:tc>
        <w:tc>
          <w:tcPr>
            <w:tcW w:type="dxa" w:w="64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Normas de auditoría aplicables en Colombia (Decreto 2420 de 2015 y sus modificaciones). Son el criterio técnico de toda la guía.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NIA 200, 210, 220, 230</w:t>
            </w:r>
          </w:p>
        </w:tc>
        <w:tc>
          <w:tcPr>
            <w:tcW w:type="dxa" w:w="64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Objetivos generales, términos del encargo (carta de encargo), control de calidad del encargo y documentación.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NIA 240, 250, 260, 265</w:t>
            </w:r>
          </w:p>
        </w:tc>
        <w:tc>
          <w:tcPr>
            <w:tcW w:type="dxa" w:w="64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Fraude, leyes y reglamentos, comunicación con los encargados del gobierno y de las deficiencias del control interno.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NIA 300, 315, 320, 330</w:t>
            </w:r>
          </w:p>
        </w:tc>
        <w:tc>
          <w:tcPr>
            <w:tcW w:type="dxa" w:w="64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Planeación y estrategia, identificación y valoración de riesgos, materialidad y respuestas a los riesgos valorados.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NIA 500, 505, 520, 530, 540, 550, 560, 570, 580</w:t>
            </w:r>
          </w:p>
        </w:tc>
        <w:tc>
          <w:tcPr>
            <w:tcW w:type="dxa" w:w="64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Evidencia, confirmaciones, procedimientos analíticos, muestreo, estimaciones contables, partes vinculadas, hechos posteriores, empresa en funcionamiento y manifestaciones escritas.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NIA 700, 705, 706, 720</w:t>
            </w:r>
          </w:p>
        </w:tc>
        <w:tc>
          <w:tcPr>
            <w:tcW w:type="dxa" w:w="64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Formación de la opinión, informe de auditoría, modificaciones, párrafos de énfasis y otra información.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NIGC 1 y NIGC 2</w:t>
            </w:r>
          </w:p>
        </w:tc>
        <w:tc>
          <w:tcPr>
            <w:tcW w:type="dxa" w:w="64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Gestión de calidad de la firma y revisión de calidad del encargo (PT-CALIDAD-00 a 18).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Código de Ética (IESBA, Decreto 2420 de 2015) y Ley 43 de 1990</w:t>
            </w:r>
          </w:p>
        </w:tc>
        <w:tc>
          <w:tcPr>
            <w:tcW w:type="dxa" w:w="64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Independencia, integridad y demás principios éticos (PT-ETICA-00 a 07).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Ley 222 de 1995 y Código de Comercio (arts. 203 a 217)</w:t>
            </w:r>
          </w:p>
        </w:tc>
        <w:tc>
          <w:tcPr>
            <w:tcW w:type="dxa" w:w="64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Funciones, inhabilidades y responsabilidad del revisor fiscal.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Ley 1314 de 2009 y marcos técnicos (Grupos 1, 2 y 3)</w:t>
            </w:r>
          </w:p>
        </w:tc>
        <w:tc>
          <w:tcPr>
            <w:tcW w:type="dxa" w:w="64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Marco de información financiera aplicable: NIIF plenas, NIIF para pymes o contabilidad simplificada.</w:t>
            </w:r>
          </w:p>
        </w:tc>
      </w:tr>
    </w:tbl>
    <w:p>
      <w:pPr>
        <w:spacing w:after="100"/>
      </w:pPr>
    </w:p>
    <w:p>
      <w:pPr>
        <w:pStyle w:val="Heading1"/>
        <w:keepNext/>
      </w:pPr>
      <w:r>
        <w:rPr>
          <w:rFonts w:ascii="Arial" w:cs="Arial" w:eastAsia="Arial" w:hAnsi="Arial"/>
        </w:rPr>
        <w:t xml:space="preserve">3. Las tres fases y los ejes transversales</w:t>
      </w:r>
    </w:p>
    <w:p>
      <w:pPr>
        <w:keepNext/>
        <w:spacing w:after="80" w:line="264"/>
        <w:jc w:val="both"/>
      </w:pPr>
      <w:r>
        <w:rPr>
          <w:rFonts w:ascii="Arial" w:cs="Arial" w:eastAsia="Arial" w:hAnsi="Arial"/>
        </w:rPr>
        <w:t xml:space="preserve">La auditoría se organiza en tres fases, que se apoyan en cuatro ejes que atraviesan todo el trabajo.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7260"/>
      </w:tblGrid>
      <w:tr>
        <w:trPr>
          <w:cantSplit/>
          <w:tblHeader/>
        </w:trPr>
        <w:tc>
          <w:tcPr>
            <w:tcW w:type="dxa" w:w="21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Fase o eje</w:t>
            </w:r>
          </w:p>
        </w:tc>
        <w:tc>
          <w:tcPr>
            <w:tcW w:type="dxa" w:w="72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Qué incluye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Planeación</w:t>
            </w:r>
          </w:p>
        </w:tc>
        <w:tc>
          <w:tcPr>
            <w:tcW w:type="dxa" w:w="72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Aceptar el encargo y firmar la carta; verificar la independencia; entender la entidad, su entorno y su control interno; identificar y valorar riesgos, incluido el fraude; fijar la materialidad; definir el enfoque; elaborar el plan, el programa y el cronograma.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Ejecución</w:t>
            </w:r>
          </w:p>
        </w:tc>
        <w:tc>
          <w:tcPr>
            <w:tcW w:type="dxa" w:w="72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Probar saldos iniciales; aplicar pruebas de controles, analíticas y de detalle; confirmar con terceros; evaluar estimaciones, partes vinculadas y hechos posteriores; acumular y evaluar incorrecciones; comunicar observaciones.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Informe</w:t>
            </w:r>
          </w:p>
        </w:tc>
        <w:tc>
          <w:tcPr>
            <w:tcW w:type="dxa" w:w="72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Concluir sobre la evidencia, obtener las manifestaciones de la administración, formar la opinión, redactar el informe, comunicar con los encargados del gobierno y archivar.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Documentación</w:t>
            </w:r>
          </w:p>
        </w:tc>
        <w:tc>
          <w:tcPr>
            <w:tcW w:type="dxa" w:w="72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Cada paso queda en un papel de trabajo referenciado (NIA 230). El archivo se cierra a más tardar 60 días después de la fecha del informe.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Comunicación</w:t>
            </w:r>
          </w:p>
        </w:tc>
        <w:tc>
          <w:tcPr>
            <w:tcW w:type="dxa" w:w="72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Toda comunicación con la administración y los encargados del gobierno es escrita y queda archivada (NIA 260 y 265).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Control de calidad</w:t>
            </w:r>
          </w:p>
        </w:tc>
        <w:tc>
          <w:tcPr>
            <w:tcW w:type="dxa" w:w="72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Dirección, supervisión y revisión desde la planeación hasta el informe; revisión de calidad del encargo cuando aplique (NIGC 1 y 2).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Materialidad</w:t>
            </w:r>
          </w:p>
        </w:tc>
        <w:tc>
          <w:tcPr>
            <w:tcW w:type="dxa" w:w="72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 aplica en la planeación y en la ejecución, y se revisa al concluir.</w:t>
            </w:r>
          </w:p>
        </w:tc>
      </w:tr>
    </w:tbl>
    <w:p>
      <w:pPr>
        <w:spacing w:after="100"/>
      </w:pPr>
    </w:p>
    <w:p>
      <w:pPr>
        <w:pStyle w:val="Heading1"/>
        <w:keepNext/>
      </w:pPr>
      <w:r>
        <w:rPr>
          <w:rFonts w:ascii="Arial" w:cs="Arial" w:eastAsia="Arial" w:hAnsi="Arial"/>
        </w:rPr>
        <w:t xml:space="preserve">4. Mapa de los papeles</w:t>
      </w:r>
    </w:p>
    <w:p>
      <w:pPr>
        <w:keepNext/>
        <w:spacing w:after="80" w:line="264"/>
        <w:jc w:val="both"/>
      </w:pPr>
      <w:r>
        <w:rPr>
          <w:rFonts w:ascii="Arial" w:cs="Arial" w:eastAsia="Arial" w:hAnsi="Arial"/>
        </w:rPr>
        <w:t xml:space="preserve">Esta es la secuencia de los papeles, de la planeación al informe. Cada papel indica el formato de la Contraloría de donde proviene y la NIA que lo sustenta. Los papeles que son de cálculo o de cuadros numéricos se entregan en Excel, con fórmulas y listas desplegables (los marcados «(Excel)»); los de texto, como las cartas, las opiniones y los informes, se entregan en Word.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400"/>
        <w:gridCol w:w="1500"/>
        <w:gridCol w:w="2960"/>
      </w:tblGrid>
      <w:tr>
        <w:trPr>
          <w:cantSplit/>
          <w:tblHeader/>
        </w:trPr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Referencia</w:t>
            </w:r>
          </w:p>
        </w:tc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Papel de trabajo</w:t>
            </w:r>
          </w:p>
        </w:tc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Formato CGR</w:t>
            </w:r>
          </w:p>
        </w:tc>
        <w:tc>
          <w:tcPr>
            <w:tcW w:type="dxa" w:w="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NIA / norma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PT-EEFF-01</w:t>
            </w:r>
          </w:p>
        </w:tc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Carta de encargo</w:t>
            </w:r>
          </w:p>
        </w:tc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Nuevo</w:t>
            </w:r>
          </w:p>
        </w:tc>
        <w:tc>
          <w:tcPr>
            <w:tcW w:type="dxa" w:w="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NIA 210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PT-EEFF-02</w:t>
            </w:r>
          </w:p>
        </w:tc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Carta de inicio y presentación del equipo</w:t>
            </w:r>
          </w:p>
        </w:tc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</w:t>
            </w:r>
          </w:p>
        </w:tc>
        <w:tc>
          <w:tcPr>
            <w:tcW w:type="dxa" w:w="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NIA 210, 260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PT-EEFF-03</w:t>
            </w:r>
          </w:p>
        </w:tc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Ayuda de memoria</w:t>
            </w:r>
          </w:p>
        </w:tc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9</w:t>
            </w:r>
          </w:p>
        </w:tc>
        <w:tc>
          <w:tcPr>
            <w:tcW w:type="dxa" w:w="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NIA 230, 240, 315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PT-EEFF-04</w:t>
            </w:r>
          </w:p>
        </w:tc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Datos generales del cliente</w:t>
            </w:r>
          </w:p>
        </w:tc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</w:t>
            </w:r>
          </w:p>
        </w:tc>
        <w:tc>
          <w:tcPr>
            <w:tcW w:type="dxa" w:w="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NIA 315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PT-EEFF-05</w:t>
            </w:r>
          </w:p>
        </w:tc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Entendimiento de la entidad y su entorno</w:t>
            </w:r>
          </w:p>
        </w:tc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4</w:t>
            </w:r>
          </w:p>
        </w:tc>
        <w:tc>
          <w:tcPr>
            <w:tcW w:type="dxa" w:w="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NIA 315, 570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PT-EEFF-06</w:t>
            </w:r>
          </w:p>
        </w:tc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Análisis de la situación financiera (Excel)</w:t>
            </w:r>
          </w:p>
        </w:tc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5</w:t>
            </w:r>
          </w:p>
        </w:tc>
        <w:tc>
          <w:tcPr>
            <w:tcW w:type="dxa" w:w="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NIA 315, 520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PT-EEFF-07</w:t>
            </w:r>
          </w:p>
        </w:tc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Análisis del estado de resultados (Excel)</w:t>
            </w:r>
          </w:p>
        </w:tc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6</w:t>
            </w:r>
          </w:p>
        </w:tc>
        <w:tc>
          <w:tcPr>
            <w:tcW w:type="dxa" w:w="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NIA 315, 520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PT-EEFF-08</w:t>
            </w:r>
          </w:p>
        </w:tc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Seguimiento de recomendaciones anteriores (Excel)</w:t>
            </w:r>
          </w:p>
        </w:tc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8</w:t>
            </w:r>
          </w:p>
        </w:tc>
        <w:tc>
          <w:tcPr>
            <w:tcW w:type="dxa" w:w="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NIA 265, 510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PT-EEFF-09</w:t>
            </w:r>
          </w:p>
        </w:tc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Evaluación del trabajo de la auditoría interna (Excel)</w:t>
            </w:r>
          </w:p>
        </w:tc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11</w:t>
            </w:r>
          </w:p>
        </w:tc>
        <w:tc>
          <w:tcPr>
            <w:tcW w:type="dxa" w:w="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NIA 610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PT-EEFF-10</w:t>
            </w:r>
          </w:p>
        </w:tc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Prueba de recorrido a procesos clave (Excel)</w:t>
            </w:r>
          </w:p>
        </w:tc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13</w:t>
            </w:r>
          </w:p>
        </w:tc>
        <w:tc>
          <w:tcPr>
            <w:tcW w:type="dxa" w:w="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NIA 315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PT-EEFF-11</w:t>
            </w:r>
          </w:p>
        </w:tc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Evaluación del control interno financiero (Excel)</w:t>
            </w:r>
          </w:p>
        </w:tc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12</w:t>
            </w:r>
          </w:p>
        </w:tc>
        <w:tc>
          <w:tcPr>
            <w:tcW w:type="dxa" w:w="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NIA 315, 265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PT-EEFF-12</w:t>
            </w:r>
          </w:p>
        </w:tc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Entrevista para identificar riesgo de fraude</w:t>
            </w:r>
          </w:p>
        </w:tc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15</w:t>
            </w:r>
          </w:p>
        </w:tc>
        <w:tc>
          <w:tcPr>
            <w:tcW w:type="dxa" w:w="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NIA 240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PT-EEFF-13</w:t>
            </w:r>
          </w:p>
        </w:tc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Identificación del riesgo de fraude (Excel)</w:t>
            </w:r>
          </w:p>
        </w:tc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16</w:t>
            </w:r>
          </w:p>
        </w:tc>
        <w:tc>
          <w:tcPr>
            <w:tcW w:type="dxa" w:w="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NIA 240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PT-EEFF-14</w:t>
            </w:r>
          </w:p>
        </w:tc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Matriz de riesgos y controles (Excel)</w:t>
            </w:r>
          </w:p>
        </w:tc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14</w:t>
            </w:r>
          </w:p>
        </w:tc>
        <w:tc>
          <w:tcPr>
            <w:tcW w:type="dxa" w:w="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NIA 315, 330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PT-EEFF-15</w:t>
            </w:r>
          </w:p>
        </w:tc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Cálculo de la materialidad (Excel)</w:t>
            </w:r>
          </w:p>
        </w:tc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17</w:t>
            </w:r>
          </w:p>
        </w:tc>
        <w:tc>
          <w:tcPr>
            <w:tcW w:type="dxa" w:w="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NIA 320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PT-EEFF-16</w:t>
            </w:r>
          </w:p>
        </w:tc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Plan de trabajo y estrategia global</w:t>
            </w:r>
          </w:p>
        </w:tc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18</w:t>
            </w:r>
          </w:p>
        </w:tc>
        <w:tc>
          <w:tcPr>
            <w:tcW w:type="dxa" w:w="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NIA 300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PT-EEFF-17</w:t>
            </w:r>
          </w:p>
        </w:tc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Programa de auditoría (Excel)</w:t>
            </w:r>
          </w:p>
        </w:tc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20</w:t>
            </w:r>
          </w:p>
        </w:tc>
        <w:tc>
          <w:tcPr>
            <w:tcW w:type="dxa" w:w="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NIA 300, 330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PT-EEFF-18</w:t>
            </w:r>
          </w:p>
        </w:tc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Gestión del riesgo de auditoría (Excel)</w:t>
            </w:r>
          </w:p>
        </w:tc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19</w:t>
            </w:r>
          </w:p>
        </w:tc>
        <w:tc>
          <w:tcPr>
            <w:tcW w:type="dxa" w:w="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NIA 200, 220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PT-EEFF-19</w:t>
            </w:r>
          </w:p>
        </w:tc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Cronograma de actividades (Excel)</w:t>
            </w:r>
          </w:p>
        </w:tc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10</w:t>
            </w:r>
          </w:p>
        </w:tc>
        <w:tc>
          <w:tcPr>
            <w:tcW w:type="dxa" w:w="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NIA 300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PT-EEFF-20</w:t>
            </w:r>
          </w:p>
        </w:tc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Revisión de saldos iniciales (Excel)</w:t>
            </w:r>
          </w:p>
        </w:tc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21</w:t>
            </w:r>
          </w:p>
        </w:tc>
        <w:tc>
          <w:tcPr>
            <w:tcW w:type="dxa" w:w="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NIA 510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PT-EEFF-21</w:t>
            </w:r>
          </w:p>
        </w:tc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Pruebas de controles (Excel)</w:t>
            </w:r>
          </w:p>
        </w:tc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24</w:t>
            </w:r>
          </w:p>
        </w:tc>
        <w:tc>
          <w:tcPr>
            <w:tcW w:type="dxa" w:w="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NIA 330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PT-EEFF-22</w:t>
            </w:r>
          </w:p>
        </w:tc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Pruebas analíticas sustantivas (Excel)</w:t>
            </w:r>
          </w:p>
        </w:tc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23</w:t>
            </w:r>
          </w:p>
        </w:tc>
        <w:tc>
          <w:tcPr>
            <w:tcW w:type="dxa" w:w="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NIA 520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PT-EEFF-23</w:t>
            </w:r>
          </w:p>
        </w:tc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Pruebas de detalle (Excel)</w:t>
            </w:r>
          </w:p>
        </w:tc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22</w:t>
            </w:r>
          </w:p>
        </w:tc>
        <w:tc>
          <w:tcPr>
            <w:tcW w:type="dxa" w:w="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NIA 330, 500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PT-EEFF-24</w:t>
            </w:r>
          </w:p>
        </w:tc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Muestreo de auditoría (Excel)</w:t>
            </w:r>
          </w:p>
        </w:tc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30</w:t>
            </w:r>
          </w:p>
        </w:tc>
        <w:tc>
          <w:tcPr>
            <w:tcW w:type="dxa" w:w="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NIA 530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PT-EEFF-25</w:t>
            </w:r>
          </w:p>
        </w:tc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Confirmación de terceros</w:t>
            </w:r>
          </w:p>
        </w:tc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27</w:t>
            </w:r>
          </w:p>
        </w:tc>
        <w:tc>
          <w:tcPr>
            <w:tcW w:type="dxa" w:w="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NIA 505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PT-EEFF-26</w:t>
            </w:r>
          </w:p>
        </w:tc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Estimaciones contables (Excel)</w:t>
            </w:r>
          </w:p>
        </w:tc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28</w:t>
            </w:r>
          </w:p>
        </w:tc>
        <w:tc>
          <w:tcPr>
            <w:tcW w:type="dxa" w:w="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NIA 540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PT-EEFF-27</w:t>
            </w:r>
          </w:p>
        </w:tc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Cédulas sumarias, hoja de ajustes e índice de papeles (Excel)</w:t>
            </w:r>
          </w:p>
        </w:tc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—</w:t>
            </w:r>
          </w:p>
        </w:tc>
        <w:tc>
          <w:tcPr>
            <w:tcW w:type="dxa" w:w="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NIA 230, 330, 450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PT-EEFF-28</w:t>
            </w:r>
          </w:p>
        </w:tc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Resumen de diferencias y opinión (Excel)</w:t>
            </w:r>
          </w:p>
        </w:tc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25</w:t>
            </w:r>
          </w:p>
        </w:tc>
        <w:tc>
          <w:tcPr>
            <w:tcW w:type="dxa" w:w="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NIA 450, 705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PT-EEFF-29</w:t>
            </w:r>
          </w:p>
        </w:tc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Procedimientos finales</w:t>
            </w:r>
          </w:p>
        </w:tc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—</w:t>
            </w:r>
          </w:p>
        </w:tc>
        <w:tc>
          <w:tcPr>
            <w:tcW w:type="dxa" w:w="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NIA 560, 550, 570, 501, 250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PT-EEFF-30</w:t>
            </w:r>
          </w:p>
        </w:tc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Carta de manifestaciones</w:t>
            </w:r>
          </w:p>
        </w:tc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26</w:t>
            </w:r>
          </w:p>
        </w:tc>
        <w:tc>
          <w:tcPr>
            <w:tcW w:type="dxa" w:w="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NIA 580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PT-EEFF-31</w:t>
            </w:r>
          </w:p>
        </w:tc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Comunicación de deficiencias y a los encargados del gobierno</w:t>
            </w:r>
          </w:p>
        </w:tc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—</w:t>
            </w:r>
          </w:p>
        </w:tc>
        <w:tc>
          <w:tcPr>
            <w:tcW w:type="dxa" w:w="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NIA 265, 260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PT-EEFF-32</w:t>
            </w:r>
          </w:p>
        </w:tc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Lista de chequeo de calidad y cierre del archivo</w:t>
            </w:r>
          </w:p>
        </w:tc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—</w:t>
            </w:r>
          </w:p>
        </w:tc>
        <w:tc>
          <w:tcPr>
            <w:tcW w:type="dxa" w:w="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NIGC 1 y 2, NIA 220, 230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PT-EEFF-33</w:t>
            </w:r>
          </w:p>
        </w:tc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Guía del informe de auditoría</w:t>
            </w:r>
          </w:p>
        </w:tc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—</w:t>
            </w:r>
          </w:p>
        </w:tc>
        <w:tc>
          <w:tcPr>
            <w:tcW w:type="dxa" w:w="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NIA 700, 705, 706, 570, 720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PT-EEFF-34</w:t>
            </w:r>
          </w:p>
        </w:tc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Opinión sin salvedades</w:t>
            </w:r>
          </w:p>
        </w:tc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—</w:t>
            </w:r>
          </w:p>
        </w:tc>
        <w:tc>
          <w:tcPr>
            <w:tcW w:type="dxa" w:w="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NIA 700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PT-EEFF-35</w:t>
            </w:r>
          </w:p>
        </w:tc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Opinión con salvedades por incorrección</w:t>
            </w:r>
          </w:p>
        </w:tc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—</w:t>
            </w:r>
          </w:p>
        </w:tc>
        <w:tc>
          <w:tcPr>
            <w:tcW w:type="dxa" w:w="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NIA 705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PT-EEFF-36</w:t>
            </w:r>
          </w:p>
        </w:tc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Opinión con salvedades por imposibilidad</w:t>
            </w:r>
          </w:p>
        </w:tc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—</w:t>
            </w:r>
          </w:p>
        </w:tc>
        <w:tc>
          <w:tcPr>
            <w:tcW w:type="dxa" w:w="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NIA 705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PT-EEFF-37</w:t>
            </w:r>
          </w:p>
        </w:tc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Opinión adversa o negativa</w:t>
            </w:r>
          </w:p>
        </w:tc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—</w:t>
            </w:r>
          </w:p>
        </w:tc>
        <w:tc>
          <w:tcPr>
            <w:tcW w:type="dxa" w:w="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NIA 705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PT-EEFF-38</w:t>
            </w:r>
          </w:p>
        </w:tc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Abstención de opinión</w:t>
            </w:r>
          </w:p>
        </w:tc>
        <w:tc>
          <w:tcPr>
            <w:tcW w:type="dxa" w:w="1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—</w:t>
            </w:r>
          </w:p>
        </w:tc>
        <w:tc>
          <w:tcPr>
            <w:tcW w:type="dxa" w:w="2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NIA 705</w:t>
            </w:r>
          </w:p>
        </w:tc>
      </w:tr>
    </w:tbl>
    <w:p>
      <w:pPr>
        <w:spacing w:after="140" w:line="264"/>
        <w:jc w:val="both"/>
      </w:pPr>
      <w:r>
        <w:rPr>
          <w:rFonts w:ascii="Arial" w:cs="Arial" w:eastAsia="Arial" w:hAnsi="Arial"/>
        </w:rPr>
        <w:t xml:space="preserve">La declaración de independencia del equipo no tiene papel propio aquí: se firma con el PT-CALIDAD-05 (es el mismo texto del PT-ETICA-01) y la de confidencialidad con el PT-CALIDAD-04. La aceptación o continuidad del cliente se documenta en el PT-CALIDAD-06 o el PT-CALIDAD-07.</w:t>
      </w:r>
    </w:p>
    <w:p>
      <w:pPr>
        <w:pStyle w:val="Heading1"/>
        <w:keepNext/>
      </w:pPr>
      <w:r>
        <w:rPr>
          <w:rFonts w:ascii="Arial" w:cs="Arial" w:eastAsia="Arial" w:hAnsi="Arial"/>
        </w:rPr>
        <w:t xml:space="preserve">5. Paso a paso de la planeación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Aceptar o continuar con el cliente.</w:t>
      </w:r>
      <w:r>
        <w:rPr>
          <w:rFonts w:ascii="Arial" w:cs="Arial" w:eastAsia="Arial" w:hAnsi="Arial"/>
        </w:rPr>
        <w:t xml:space="preserve"> Antes de cualquier trabajo, complete el PT-CALIDAD-06 (cliente nuevo) o el PT-CALIDAD-07 (continuidad) y los requerimientos de ética. Si acepta, firme la </w:t>
      </w:r>
      <w:r>
        <w:rPr>
          <w:rFonts w:ascii="Arial" w:cs="Arial" w:eastAsia="Arial" w:hAnsi="Arial"/>
          <w:b/>
          <w:bCs/>
        </w:rPr>
        <w:t xml:space="preserve">carta de encargo</w:t>
      </w:r>
      <w:r>
        <w:rPr>
          <w:rFonts w:ascii="Arial" w:cs="Arial" w:eastAsia="Arial" w:hAnsi="Arial"/>
        </w:rPr>
        <w:t xml:space="preserve"> (PT-EEFF-01) con la administración y los encargados del gobierno. No empiece sin carta firmada.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Declarar independencia.</w:t>
      </w:r>
      <w:r>
        <w:rPr>
          <w:rFonts w:ascii="Arial" w:cs="Arial" w:eastAsia="Arial" w:hAnsi="Arial"/>
        </w:rPr>
        <w:t xml:space="preserve"> Cada integrante del equipo firma el PT-CALIDAD-05 y el PT-CALIDAD-04 antes de iniciar la planeación. El responsable del encargo los revisa y los archiva.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Presentarse al cliente.</w:t>
      </w:r>
      <w:r>
        <w:rPr>
          <w:rFonts w:ascii="Arial" w:cs="Arial" w:eastAsia="Arial" w:hAnsi="Arial"/>
        </w:rPr>
        <w:t xml:space="preserve"> Envíe la carta de inicio (PT-EEFF-02) y realice la reunión de apertura: presente el equipo, los objetivos, los tiempos y la información que necesita, y acuerde quién la entrega. Documente la reunión en una ayuda de memoria (PT-EEFF-03).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Entender la entidad.</w:t>
      </w:r>
      <w:r>
        <w:rPr>
          <w:rFonts w:ascii="Arial" w:cs="Arial" w:eastAsia="Arial" w:hAnsi="Arial"/>
        </w:rPr>
        <w:t xml:space="preserve"> Diligencie los datos generales (PT-EEFF-04), el entendimiento de la entidad y su entorno (PT-EEFF-05) y los análisis horizontal y vertical del balance y del estado de resultados (PT-EEFF-06 y 07). Aquí se identifican las cuentas significativas y las variaciones inusuales. Conozca también el seguimiento a las recomendaciones de auditorías anteriores (PT-EEFF-08) y evalúe si el trabajo de la auditoría interna sirve (PT-EEFF-09).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Entender los procesos y el control interno.</w:t>
      </w:r>
      <w:r>
        <w:rPr>
          <w:rFonts w:ascii="Arial" w:cs="Arial" w:eastAsia="Arial" w:hAnsi="Arial"/>
        </w:rPr>
        <w:t xml:space="preserve"> Identifique los procesos clave que alimentan los estados financieros (ingresos, compras, tesorería, inventarios, activos fijos, nómina, impuestos, financiación y cierre contable) y haga una </w:t>
      </w:r>
      <w:r>
        <w:rPr>
          <w:rFonts w:ascii="Arial" w:cs="Arial" w:eastAsia="Arial" w:hAnsi="Arial"/>
          <w:b/>
          <w:bCs/>
        </w:rPr>
        <w:t xml:space="preserve">prueba de recorrido</w:t>
      </w:r>
      <w:r>
        <w:rPr>
          <w:rFonts w:ascii="Arial" w:cs="Arial" w:eastAsia="Arial" w:hAnsi="Arial"/>
        </w:rPr>
        <w:t xml:space="preserve"> de cada uno en las instalaciones del cliente (PT-EEFF-10). Evalúe los cinco componentes del control interno (PT-EEFF-11).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Identificar el riesgo de fraude.</w:t>
      </w:r>
      <w:r>
        <w:rPr>
          <w:rFonts w:ascii="Arial" w:cs="Arial" w:eastAsia="Arial" w:hAnsi="Arial"/>
        </w:rPr>
        <w:t xml:space="preserve"> Entreviste al personal clave (PT-EEFF-12), reúna al equipo para discutir dónde podrían estar los fraudes (PT-EEFF-03) y documente los riesgos de fraude identificados (PT-EEFF-13).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Valorar riesgos y controles.</w:t>
      </w:r>
      <w:r>
        <w:rPr>
          <w:rFonts w:ascii="Arial" w:cs="Arial" w:eastAsia="Arial" w:hAnsi="Arial"/>
        </w:rPr>
        <w:t xml:space="preserve"> Trasládelos todos a la matriz de riesgos y controles (PT-EEFF-14): califique probabilidad e impacto de 1 a 3, marque los riesgos significativos y de fraude y evalúe el diseño de cada control. La matriz entrega el riesgo combinado.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Fijar la materialidad.</w:t>
      </w:r>
      <w:r>
        <w:rPr>
          <w:rFonts w:ascii="Arial" w:cs="Arial" w:eastAsia="Arial" w:hAnsi="Arial"/>
        </w:rPr>
        <w:t xml:space="preserve"> Calcule la materialidad de planeación, el error tolerable y el importe para el resumen de diferencias (PT-EEFF-15), con una parte cuantitativa y otra cualitativa.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Definir el enfoque.</w:t>
      </w:r>
      <w:r>
        <w:rPr>
          <w:rFonts w:ascii="Arial" w:cs="Arial" w:eastAsia="Arial" w:hAnsi="Arial"/>
        </w:rPr>
        <w:t xml:space="preserve"> Para cada riesgo decida si el enfoque es de controles, sustantivo o combinado, y la oportunidad, el alcance y la extensión de las pruebas. Quede todo en el plan de trabajo y la estrategia global (PT-EEFF-16).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Elaborar el programa.</w:t>
      </w:r>
      <w:r>
        <w:rPr>
          <w:rFonts w:ascii="Arial" w:cs="Arial" w:eastAsia="Arial" w:hAnsi="Arial"/>
        </w:rPr>
        <w:t xml:space="preserve"> Redacte los procedimientos, objetivos, responsables y horas (PT-EEFF-17). Valore el riesgo de auditoría y las acciones para reducirlo (PT-EEFF-18).</w:t>
      </w:r>
    </w:p>
    <w:p>
      <w:pPr>
        <w:pStyle w:val="ListParagraph"/>
        <w:numPr>
          <w:ilvl w:val="0"/>
          <w:numId w:val="2"/>
        </w:numPr>
        <w:spacing w:after="140" w:line="260"/>
        <w:jc w:val="both"/>
      </w:pPr>
      <w:r>
        <w:rPr>
          <w:rFonts w:ascii="Arial" w:cs="Arial" w:eastAsia="Arial" w:hAnsi="Arial"/>
          <w:b/>
          <w:bCs/>
        </w:rPr>
        <w:t xml:space="preserve">Programar y aprobar.</w:t>
      </w:r>
      <w:r>
        <w:rPr>
          <w:rFonts w:ascii="Arial" w:cs="Arial" w:eastAsia="Arial" w:hAnsi="Arial"/>
        </w:rPr>
        <w:t xml:space="preserve"> Cierre con el cronograma (PT-EEFF-19), la reunión del equipo que aprueba el plan y la comunicación de la planeación a los encargados del gobierno. El socio o responsable del encargo firma la aprobación.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Si durante la ejecución aparece información que cambia de forma importante lo previsto, el equipo actualiza la estrategia y el plan, lo documenta y obtiene de nuevo la aprobación del responsable del encargo.</w:t>
      </w:r>
    </w:p>
    <w:p>
      <w:pPr>
        <w:pStyle w:val="Heading1"/>
        <w:keepNext/>
      </w:pPr>
      <w:r>
        <w:rPr>
          <w:rFonts w:ascii="Arial" w:cs="Arial" w:eastAsia="Arial" w:hAnsi="Arial"/>
        </w:rPr>
        <w:t xml:space="preserve">6. Reglas del método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6.1 Valoración numérica del riesgo</w:t>
      </w:r>
    </w:p>
    <w:p>
      <w:pPr>
        <w:keepNext/>
        <w:spacing w:after="80" w:line="264"/>
        <w:jc w:val="both"/>
      </w:pPr>
      <w:r>
        <w:rPr>
          <w:rFonts w:ascii="Arial" w:cs="Arial" w:eastAsia="Arial" w:hAnsi="Arial"/>
        </w:rPr>
        <w:t xml:space="preserve">Todo riesgo se califica solo con números, igual que en el sistema de gestión de calidad: </w:t>
      </w:r>
      <w:r>
        <w:rPr>
          <w:rFonts w:ascii="Arial" w:cs="Arial" w:eastAsia="Arial" w:hAnsi="Arial"/>
          <w:b/>
          <w:bCs/>
        </w:rPr>
        <w:t xml:space="preserve">probabilidad</w:t>
      </w:r>
      <w:r>
        <w:rPr>
          <w:rFonts w:ascii="Arial" w:cs="Arial" w:eastAsia="Arial" w:hAnsi="Arial"/>
        </w:rPr>
        <w:t xml:space="preserve"> de 1 a 3 (baja, media, alta) e </w:t>
      </w:r>
      <w:r>
        <w:rPr>
          <w:rFonts w:ascii="Arial" w:cs="Arial" w:eastAsia="Arial" w:hAnsi="Arial"/>
          <w:b/>
          <w:bCs/>
        </w:rPr>
        <w:t xml:space="preserve">impacto</w:t>
      </w:r>
      <w:r>
        <w:rPr>
          <w:rFonts w:ascii="Arial" w:cs="Arial" w:eastAsia="Arial" w:hAnsi="Arial"/>
        </w:rPr>
        <w:t xml:space="preserve"> de 1 a 3 (bajo, medio, alto). El riesgo inherente es el producto P × I y se lee por color.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2000"/>
        <w:gridCol w:w="2000"/>
        <w:gridCol w:w="2000"/>
      </w:tblGrid>
      <w:tr>
        <w:trPr>
          <w:cantSplit/>
          <w:tblHeader/>
        </w:trPr>
        <w:tc>
          <w:tcPr>
            <w:tcW w:type="dxa" w:w="3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Impacto \ Probabilidad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1  Baja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2  Media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3  Alta</w:t>
            </w:r>
          </w:p>
        </w:tc>
      </w:tr>
      <w:tr>
        <w:trPr>
          <w:cantSplit/>
        </w:trPr>
        <w:tc>
          <w:tcPr>
            <w:tcW w:type="dxa" w:w="3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3  Dañino o catastrófico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FF0A8" w:color="auto" w:val="clear"/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3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4B6B0" w:color="auto" w:val="clear"/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6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4B6B0" w:color="auto" w:val="clear"/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9</w:t>
            </w:r>
          </w:p>
        </w:tc>
      </w:tr>
      <w:tr>
        <w:trPr>
          <w:cantSplit/>
        </w:trPr>
        <w:tc>
          <w:tcPr>
            <w:tcW w:type="dxa" w:w="3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2  Moderado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C9E8CF" w:color="auto" w:val="clear"/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2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FF0A8" w:color="auto" w:val="clear"/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4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4B6B0" w:color="auto" w:val="clear"/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6</w:t>
            </w:r>
          </w:p>
        </w:tc>
      </w:tr>
      <w:tr>
        <w:trPr>
          <w:cantSplit/>
        </w:trPr>
        <w:tc>
          <w:tcPr>
            <w:tcW w:type="dxa" w:w="3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1  Insignificante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C9E8CF" w:color="auto" w:val="clear"/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1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C9E8CF" w:color="auto" w:val="clear"/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2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FF0A8" w:color="auto" w:val="clear"/>
            <w:tcMar>
              <w:top w:type="dxa" w:w="70"/>
              <w:left w:type="dxa" w:w="60"/>
              <w:bottom w:type="dxa" w:w="7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2D3D"/>
                <w:sz w:val="24"/>
                <w:szCs w:val="24"/>
              </w:rPr>
              <w:t xml:space="preserve">3</w:t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000"/>
        <w:gridCol w:w="5560"/>
      </w:tblGrid>
      <w:tr>
        <w:trPr>
          <w:cantSplit/>
          <w:tblHeader/>
        </w:trPr>
        <w:tc>
          <w:tcPr>
            <w:tcW w:type="dxa" w:w="18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Color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Resultado</w:t>
            </w:r>
          </w:p>
        </w:tc>
        <w:tc>
          <w:tcPr>
            <w:tcW w:type="dxa" w:w="55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Lectura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Verde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 a 2</w:t>
            </w:r>
          </w:p>
        </w:tc>
        <w:tc>
          <w:tcPr>
            <w:tcW w:type="dxa" w:w="55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Riesgo bajo.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Amarillo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 a 4</w:t>
            </w:r>
          </w:p>
        </w:tc>
        <w:tc>
          <w:tcPr>
            <w:tcW w:type="dxa" w:w="55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Riesgo medio.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Rojo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6 a 9</w:t>
            </w:r>
          </w:p>
        </w:tc>
        <w:tc>
          <w:tcPr>
            <w:tcW w:type="dxa" w:w="55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Riesgo alto.</w:t>
            </w:r>
          </w:p>
        </w:tc>
      </w:tr>
    </w:tbl>
    <w:p>
      <w:pPr>
        <w:spacing w:after="80"/>
      </w:pP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Todo riesgo de fraude se trata como riesgo significativo (NIA 240). También es significativo el que proviene de transacciones inusuales o no rutinarias, de estimaciones contables complejas, de partes vinculadas, de intervención manual importante o de intervención de la alta dirección. Los riesgos significativos y de fraude tienen prioridad alta, con pruebas sustantivas y mayor extensión.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6.2 Evaluación del diseño del control</w:t>
      </w:r>
    </w:p>
    <w:p>
      <w:pPr>
        <w:keepNext/>
        <w:spacing w:after="80" w:line="264"/>
        <w:jc w:val="both"/>
      </w:pPr>
      <w:r>
        <w:rPr>
          <w:rFonts w:ascii="Arial" w:cs="Arial" w:eastAsia="Arial" w:hAnsi="Arial"/>
        </w:rPr>
        <w:t xml:space="preserve">Para cada control relevante, el auditor califica seis criterios, cada uno con su peso. La calificación va de 1 (mejor) a 3 (peor).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1100"/>
        <w:gridCol w:w="4860"/>
      </w:tblGrid>
      <w:tr>
        <w:trPr>
          <w:cantSplit/>
          <w:tblHeader/>
        </w:trPr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Criterio</w:t>
            </w:r>
          </w:p>
        </w:tc>
        <w:tc>
          <w:tcPr>
            <w:tcW w:type="dxa" w:w="11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Peso</w:t>
            </w:r>
          </w:p>
        </w:tc>
        <w:tc>
          <w:tcPr>
            <w:tcW w:type="dxa" w:w="48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Cómo se califica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Control apropiado para el riesgo</w:t>
            </w:r>
          </w:p>
        </w:tc>
        <w:tc>
          <w:tcPr>
            <w:tcW w:type="dxa" w:w="11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30%</w:t>
            </w:r>
          </w:p>
        </w:tc>
        <w:tc>
          <w:tcPr>
            <w:tcW w:type="dxa" w:w="48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1 adecuado, 2 parcial, 3 inadecuado o inexistente.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Tipo</w:t>
            </w:r>
          </w:p>
        </w:tc>
        <w:tc>
          <w:tcPr>
            <w:tcW w:type="dxa" w:w="11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25%</w:t>
            </w:r>
          </w:p>
        </w:tc>
        <w:tc>
          <w:tcPr>
            <w:tcW w:type="dxa" w:w="48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 automático, 3 manual.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Segregación de funciones</w:t>
            </w:r>
          </w:p>
        </w:tc>
        <w:tc>
          <w:tcPr>
            <w:tcW w:type="dxa" w:w="11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25%</w:t>
            </w:r>
          </w:p>
        </w:tc>
        <w:tc>
          <w:tcPr>
            <w:tcW w:type="dxa" w:w="48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1 si quien controla es distinto de quien opera; 3 si no.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Frecuencia</w:t>
            </w:r>
          </w:p>
        </w:tc>
        <w:tc>
          <w:tcPr>
            <w:tcW w:type="dxa" w:w="11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10%</w:t>
            </w:r>
          </w:p>
        </w:tc>
        <w:tc>
          <w:tcPr>
            <w:tcW w:type="dxa" w:w="48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1 razonable frente a la operación; 3 no razonable.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Documentación</w:t>
            </w:r>
          </w:p>
        </w:tc>
        <w:tc>
          <w:tcPr>
            <w:tcW w:type="dxa" w:w="11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5%</w:t>
            </w:r>
          </w:p>
        </w:tc>
        <w:tc>
          <w:tcPr>
            <w:tcW w:type="dxa" w:w="48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1 documentado en procedimientos aprobados; 3 si no.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Clase</w:t>
            </w:r>
          </w:p>
        </w:tc>
        <w:tc>
          <w:tcPr>
            <w:tcW w:type="dxa" w:w="11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5%</w:t>
            </w:r>
          </w:p>
        </w:tc>
        <w:tc>
          <w:tcPr>
            <w:tcW w:type="dxa" w:w="48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 preventivo; 3 detectivo o correctivo.</w:t>
            </w:r>
          </w:p>
        </w:tc>
      </w:tr>
    </w:tbl>
    <w:p>
      <w:pPr>
        <w:spacing w:after="140" w:line="264"/>
        <w:jc w:val="both"/>
      </w:pPr>
      <w:r>
        <w:rPr>
          <w:rFonts w:ascii="Arial" w:cs="Arial" w:eastAsia="Arial" w:hAnsi="Arial"/>
        </w:rPr>
        <w:t xml:space="preserve">El resultado ponderado se lee así: de 1,0 a 1,6 el diseño es </w:t>
      </w:r>
      <w:r>
        <w:rPr>
          <w:rFonts w:ascii="Arial" w:cs="Arial" w:eastAsia="Arial" w:hAnsi="Arial"/>
          <w:b/>
          <w:bCs/>
        </w:rPr>
        <w:t xml:space="preserve">adecuado</w:t>
      </w:r>
      <w:r>
        <w:rPr>
          <w:rFonts w:ascii="Arial" w:cs="Arial" w:eastAsia="Arial" w:hAnsi="Arial"/>
        </w:rPr>
        <w:t xml:space="preserve">; de 1,7 a 2,3, </w:t>
      </w:r>
      <w:r>
        <w:rPr>
          <w:rFonts w:ascii="Arial" w:cs="Arial" w:eastAsia="Arial" w:hAnsi="Arial"/>
          <w:b/>
          <w:bCs/>
        </w:rPr>
        <w:t xml:space="preserve">parcialmente adecuado</w:t>
      </w:r>
      <w:r>
        <w:rPr>
          <w:rFonts w:ascii="Arial" w:cs="Arial" w:eastAsia="Arial" w:hAnsi="Arial"/>
        </w:rPr>
        <w:t xml:space="preserve">; de 2,4 a 3,0, </w:t>
      </w:r>
      <w:r>
        <w:rPr>
          <w:rFonts w:ascii="Arial" w:cs="Arial" w:eastAsia="Arial" w:hAnsi="Arial"/>
          <w:b/>
          <w:bCs/>
        </w:rPr>
        <w:t xml:space="preserve">inadecuado o inexistente</w:t>
      </w:r>
      <w:r>
        <w:rPr>
          <w:rFonts w:ascii="Arial" w:cs="Arial" w:eastAsia="Arial" w:hAnsi="Arial"/>
        </w:rPr>
        <w:t xml:space="preserve">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6.3 Riesgo combinado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El riesgo combinado resulta de ajustar el riesgo inherente por el diseño del control: se multiplica P × I por </w:t>
      </w:r>
      <w:r>
        <w:rPr>
          <w:rFonts w:ascii="Arial" w:cs="Arial" w:eastAsia="Arial" w:hAnsi="Arial"/>
          <w:b/>
          <w:bCs/>
        </w:rPr>
        <w:t xml:space="preserve">0,5</w:t>
      </w:r>
      <w:r>
        <w:rPr>
          <w:rFonts w:ascii="Arial" w:cs="Arial" w:eastAsia="Arial" w:hAnsi="Arial"/>
        </w:rPr>
        <w:t xml:space="preserve"> si el diseño es adecuado, por </w:t>
      </w:r>
      <w:r>
        <w:rPr>
          <w:rFonts w:ascii="Arial" w:cs="Arial" w:eastAsia="Arial" w:hAnsi="Arial"/>
          <w:b/>
          <w:bCs/>
        </w:rPr>
        <w:t xml:space="preserve">0,75</w:t>
      </w:r>
      <w:r>
        <w:rPr>
          <w:rFonts w:ascii="Arial" w:cs="Arial" w:eastAsia="Arial" w:hAnsi="Arial"/>
        </w:rPr>
        <w:t xml:space="preserve"> si es parcial y por </w:t>
      </w:r>
      <w:r>
        <w:rPr>
          <w:rFonts w:ascii="Arial" w:cs="Arial" w:eastAsia="Arial" w:hAnsi="Arial"/>
          <w:b/>
          <w:bCs/>
        </w:rPr>
        <w:t xml:space="preserve">1,0</w:t>
      </w:r>
      <w:r>
        <w:rPr>
          <w:rFonts w:ascii="Arial" w:cs="Arial" w:eastAsia="Arial" w:hAnsi="Arial"/>
        </w:rPr>
        <w:t xml:space="preserve"> si es inadecuado o inexistente. El resultado se lee con los mismos colores: menos de 3 verde, de 3 a menos de 6 amarillo, 6 o más rojo. </w:t>
      </w:r>
      <w:r>
        <w:rPr>
          <w:rFonts w:ascii="Arial" w:cs="Arial" w:eastAsia="Arial" w:hAnsi="Arial"/>
          <w:b/>
          <w:bCs/>
        </w:rPr>
        <w:t xml:space="preserve">Ejemplo:</w:t>
      </w:r>
      <w:r>
        <w:rPr>
          <w:rFonts w:ascii="Arial" w:cs="Arial" w:eastAsia="Arial" w:hAnsi="Arial"/>
        </w:rPr>
        <w:t xml:space="preserve"> un riesgo de 3 × 3 = 9 con diseño adecuado queda en 4,5, amarillo; con diseño inadecuado queda en 9, rojo.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6.4 Enfoque de auditoría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6860"/>
      </w:tblGrid>
      <w:tr>
        <w:trPr>
          <w:cantSplit/>
          <w:tblHeader/>
        </w:trPr>
        <w:tc>
          <w:tcPr>
            <w:tcW w:type="dxa" w:w="2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Enfoque</w:t>
            </w:r>
          </w:p>
        </w:tc>
        <w:tc>
          <w:tcPr>
            <w:tcW w:type="dxa" w:w="68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Cuándo se usa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De controles</w:t>
            </w:r>
          </w:p>
        </w:tc>
        <w:tc>
          <w:tcPr>
            <w:tcW w:type="dxa" w:w="68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El diseño del control es adecuado, hay confianza en él y se prueba su efectividad. Predominan los controles automáticos.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Sustantivo</w:t>
            </w:r>
          </w:p>
        </w:tc>
        <w:tc>
          <w:tcPr>
            <w:tcW w:type="dxa" w:w="68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El diseño es inadecuado o inexistente, o no hay confianza en los controles. Se aplican pruebas analíticas y de detalle.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Combinado</w:t>
            </w:r>
          </w:p>
        </w:tc>
        <w:tc>
          <w:tcPr>
            <w:tcW w:type="dxa" w:w="68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El diseño es parcial o hay controles automáticos y manuales en proporciones parecidas: se prueban los controles y además se aplican pruebas sustantivas.</w:t>
            </w:r>
          </w:p>
        </w:tc>
      </w:tr>
    </w:tbl>
    <w:p>
      <w:pPr>
        <w:spacing w:after="140" w:line="264"/>
        <w:jc w:val="both"/>
      </w:pPr>
      <w:r>
        <w:rPr>
          <w:rFonts w:ascii="Arial" w:cs="Arial" w:eastAsia="Arial" w:hAnsi="Arial"/>
        </w:rPr>
        <w:t xml:space="preserve">Cuando hay un riesgo significativo o de fraude se aplican siempre pruebas sustantivas, con características propias: elemento sorpresa, métodos de muestreo distintos de los habituales, revisión de asientos de cierre y de partes vinculadas. Para la prioridad: riesgo combinado rojo, de fraude o significativo, prioridad alta y mayor extensión; amarillo, prioridad media; verde, prioridad baja.</w:t>
      </w:r>
    </w:p>
    <w:p>
      <w:pPr>
        <w:keepNext/>
        <w:spacing w:after="60" w:line="264"/>
        <w:jc w:val="both"/>
      </w:pPr>
      <w:r>
        <w:rPr>
          <w:rFonts w:ascii="Arial" w:cs="Arial" w:eastAsia="Arial" w:hAnsi="Arial"/>
          <w:b/>
          <w:bCs/>
        </w:rPr>
        <w:t xml:space="preserve">Tamaño de la muestra en pruebas de controles</w:t>
      </w:r>
      <w:r>
        <w:rPr>
          <w:rFonts w:ascii="Arial" w:cs="Arial" w:eastAsia="Arial" w:hAnsi="Arial"/>
        </w:rPr>
        <w:t xml:space="preserve"> cuando el universo es pequeño: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2000"/>
        <w:gridCol w:w="2000"/>
        <w:gridCol w:w="1960"/>
      </w:tblGrid>
      <w:tr>
        <w:trPr>
          <w:cantSplit/>
          <w:tblHeader/>
        </w:trPr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Frecuencia del control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Veces al año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Confianza alta</w:t>
            </w:r>
          </w:p>
        </w:tc>
        <w:tc>
          <w:tcPr>
            <w:tcW w:type="dxa" w:w="1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Confianza moderada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Anual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</w:t>
            </w:r>
          </w:p>
        </w:tc>
        <w:tc>
          <w:tcPr>
            <w:tcW w:type="dxa" w:w="1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Trimestral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4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</w:t>
            </w:r>
          </w:p>
        </w:tc>
        <w:tc>
          <w:tcPr>
            <w:tcW w:type="dxa" w:w="1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Mensual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12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</w:t>
            </w:r>
          </w:p>
        </w:tc>
        <w:tc>
          <w:tcPr>
            <w:tcW w:type="dxa" w:w="1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Semanal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52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5</w:t>
            </w:r>
          </w:p>
        </w:tc>
        <w:tc>
          <w:tcPr>
            <w:tcW w:type="dxa" w:w="1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Diario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250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20</w:t>
            </w:r>
          </w:p>
        </w:tc>
        <w:tc>
          <w:tcPr>
            <w:tcW w:type="dxa" w:w="1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10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Varias veces al día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Más de 250</w:t>
            </w:r>
          </w:p>
        </w:tc>
        <w:tc>
          <w:tcPr>
            <w:tcW w:type="dxa" w:w="20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25</w:t>
            </w:r>
          </w:p>
        </w:tc>
        <w:tc>
          <w:tcPr>
            <w:tcW w:type="dxa" w:w="19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15</w:t>
            </w:r>
          </w:p>
        </w:tc>
      </w:tr>
    </w:tbl>
    <w:p>
      <w:pPr>
        <w:spacing w:after="140" w:line="264"/>
        <w:jc w:val="both"/>
      </w:pPr>
      <w:r>
        <w:rPr>
          <w:rFonts w:ascii="Arial" w:cs="Arial" w:eastAsia="Arial" w:hAnsi="Arial"/>
        </w:rPr>
        <w:t xml:space="preserve">Confianza alta cuando el diseño del control es inadecuado y aun así se desea apoyarse en él; moderada cuando el diseño es adecuado o parcial. Para universos grandes se usa el muestreo estadístico de la ejecución.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6.5 Materialidad</w:t>
      </w:r>
    </w:p>
    <w:p>
      <w:pPr>
        <w:keepNext/>
        <w:spacing w:after="80" w:line="264"/>
        <w:jc w:val="both"/>
      </w:pPr>
      <w:r>
        <w:rPr>
          <w:rFonts w:ascii="Arial" w:cs="Arial" w:eastAsia="Arial" w:hAnsi="Arial"/>
        </w:rPr>
        <w:t xml:space="preserve">Se determinan tres importes: la </w:t>
      </w:r>
      <w:r>
        <w:rPr>
          <w:rFonts w:ascii="Arial" w:cs="Arial" w:eastAsia="Arial" w:hAnsi="Arial"/>
          <w:b/>
          <w:bCs/>
        </w:rPr>
        <w:t xml:space="preserve">materialidad de planeación</w:t>
      </w:r>
      <w:r>
        <w:rPr>
          <w:rFonts w:ascii="Arial" w:cs="Arial" w:eastAsia="Arial" w:hAnsi="Arial"/>
        </w:rPr>
        <w:t xml:space="preserve"> (MP), el </w:t>
      </w:r>
      <w:r>
        <w:rPr>
          <w:rFonts w:ascii="Arial" w:cs="Arial" w:eastAsia="Arial" w:hAnsi="Arial"/>
          <w:b/>
          <w:bCs/>
        </w:rPr>
        <w:t xml:space="preserve">error tolerable</w:t>
      </w:r>
      <w:r>
        <w:rPr>
          <w:rFonts w:ascii="Arial" w:cs="Arial" w:eastAsia="Arial" w:hAnsi="Arial"/>
        </w:rPr>
        <w:t xml:space="preserve"> (ET) o materialidad de ejecución, y el importe para el </w:t>
      </w:r>
      <w:r>
        <w:rPr>
          <w:rFonts w:ascii="Arial" w:cs="Arial" w:eastAsia="Arial" w:hAnsi="Arial"/>
          <w:b/>
          <w:bCs/>
        </w:rPr>
        <w:t xml:space="preserve">resumen de diferencias</w:t>
      </w:r>
      <w:r>
        <w:rPr>
          <w:rFonts w:ascii="Arial" w:cs="Arial" w:eastAsia="Arial" w:hAnsi="Arial"/>
        </w:rPr>
        <w:t xml:space="preserve"> (RD), por debajo del cual no se acumulan las incorrecciones.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3200"/>
        <w:gridCol w:w="3360"/>
      </w:tblGrid>
      <w:tr>
        <w:trPr>
          <w:cantSplit/>
          <w:tblHeader/>
        </w:trPr>
        <w:tc>
          <w:tcPr>
            <w:tcW w:type="dxa" w:w="28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Base</w:t>
            </w:r>
          </w:p>
        </w:tc>
        <w:tc>
          <w:tcPr>
            <w:tcW w:type="dxa" w:w="3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Rango de porcentaje</w:t>
            </w:r>
          </w:p>
        </w:tc>
        <w:tc>
          <w:tcPr>
            <w:tcW w:type="dxa" w:w="3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Cuándo suele usarse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Utilidad antes de impuestos</w:t>
            </w:r>
          </w:p>
        </w:tc>
        <w:tc>
          <w:tcPr>
            <w:tcW w:type="dxa" w:w="3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5% a 10%</w:t>
            </w:r>
          </w:p>
        </w:tc>
        <w:tc>
          <w:tcPr>
            <w:tcW w:type="dxa" w:w="3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Entidades con utilidades estables.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Ingresos o gastos</w:t>
            </w:r>
          </w:p>
        </w:tc>
        <w:tc>
          <w:tcPr>
            <w:tcW w:type="dxa" w:w="3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0,5% a 3%</w:t>
            </w:r>
          </w:p>
        </w:tc>
        <w:tc>
          <w:tcPr>
            <w:tcW w:type="dxa" w:w="3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Utilidades volátiles o entidades sin ánimo de lucro.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Margen bruto</w:t>
            </w:r>
          </w:p>
        </w:tc>
        <w:tc>
          <w:tcPr>
            <w:tcW w:type="dxa" w:w="3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1% a 2%</w:t>
            </w:r>
          </w:p>
        </w:tc>
        <w:tc>
          <w:tcPr>
            <w:tcW w:type="dxa" w:w="3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Comercializadoras y entidades con inventarios.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Patrimonio</w:t>
            </w:r>
          </w:p>
        </w:tc>
        <w:tc>
          <w:tcPr>
            <w:tcW w:type="dxa" w:w="3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1% a 5%</w:t>
            </w:r>
          </w:p>
        </w:tc>
        <w:tc>
          <w:tcPr>
            <w:tcW w:type="dxa" w:w="3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Entidades en que los propietarios son los usuarios clave.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Activos</w:t>
            </w:r>
          </w:p>
        </w:tc>
        <w:tc>
          <w:tcPr>
            <w:tcW w:type="dxa" w:w="3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0,5% a 3%</w:t>
            </w:r>
          </w:p>
        </w:tc>
        <w:tc>
          <w:tcPr>
            <w:tcW w:type="dxa" w:w="3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Entidades intensivas en activos o financieras.</w:t>
            </w:r>
          </w:p>
        </w:tc>
      </w:tr>
    </w:tbl>
    <w:p>
      <w:pPr>
        <w:spacing w:after="80"/>
      </w:pP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El porcentaje dentro del rango depende de cinco factores. Cada uno se califica con 1 (mejor), 2 o 3 (peor): la opinión de la auditoría anterior (sin salvedades 1, con salvedades 2, negativa o abstención 3); la calificación del control interno anterior (eficiente 1, con deficiencias 2, deficiente 3); las incorrecciones de la auditoría anterior (ninguna 1, no materiales 2, materiales 3); el riesgo combinado del proceso financiero (bajo 1, medio 2, alto 3); y el diseño de controles (adecuado 1, parcial 2, inadecuado 3). La suma va de 5 a 15 y define el nivel: </w:t>
      </w:r>
      <w:r>
        <w:rPr>
          <w:rFonts w:ascii="Arial" w:cs="Arial" w:eastAsia="Arial" w:hAnsi="Arial"/>
          <w:b/>
          <w:bCs/>
        </w:rPr>
        <w:t xml:space="preserve">de 12 a 15, nivel 1</w:t>
      </w:r>
      <w:r>
        <w:rPr>
          <w:rFonts w:ascii="Arial" w:cs="Arial" w:eastAsia="Arial" w:hAnsi="Arial"/>
        </w:rPr>
        <w:t xml:space="preserve"> (el porcentaje más bajo del rango); </w:t>
      </w:r>
      <w:r>
        <w:rPr>
          <w:rFonts w:ascii="Arial" w:cs="Arial" w:eastAsia="Arial" w:hAnsi="Arial"/>
          <w:b/>
          <w:bCs/>
        </w:rPr>
        <w:t xml:space="preserve">de 8 a menos de 12, nivel 2</w:t>
      </w:r>
      <w:r>
        <w:rPr>
          <w:rFonts w:ascii="Arial" w:cs="Arial" w:eastAsia="Arial" w:hAnsi="Arial"/>
        </w:rPr>
        <w:t xml:space="preserve">; </w:t>
      </w:r>
      <w:r>
        <w:rPr>
          <w:rFonts w:ascii="Arial" w:cs="Arial" w:eastAsia="Arial" w:hAnsi="Arial"/>
          <w:b/>
          <w:bCs/>
        </w:rPr>
        <w:t xml:space="preserve">de 5 a menos de 8, nivel 3</w:t>
      </w:r>
      <w:r>
        <w:rPr>
          <w:rFonts w:ascii="Arial" w:cs="Arial" w:eastAsia="Arial" w:hAnsi="Arial"/>
        </w:rPr>
        <w:t xml:space="preserve"> (el más alto). A mayor alerta, menor materialidad.</w:t>
      </w:r>
    </w:p>
    <w:p>
      <w:pPr>
        <w:spacing w:after="110" w:line="264"/>
        <w:jc w:val="both"/>
      </w:pPr>
      <w:r>
        <w:rPr>
          <w:rFonts w:ascii="Arial" w:cs="Arial" w:eastAsia="Arial" w:hAnsi="Arial"/>
          <w:b/>
          <w:bCs/>
        </w:rPr>
        <w:t xml:space="preserve">Error tolerable:</w:t>
      </w:r>
      <w:r>
        <w:rPr>
          <w:rFonts w:ascii="Arial" w:cs="Arial" w:eastAsia="Arial" w:hAnsi="Arial"/>
        </w:rPr>
        <w:t xml:space="preserve"> MP × 75% si el riesgo es bajo y los controles son confiables; MP × 50% si el riesgo es alto o el control es débil. </w:t>
      </w:r>
      <w:r>
        <w:rPr>
          <w:rFonts w:ascii="Arial" w:cs="Arial" w:eastAsia="Arial" w:hAnsi="Arial"/>
          <w:b/>
          <w:bCs/>
        </w:rPr>
        <w:t xml:space="preserve">Resumen de diferencias:</w:t>
      </w:r>
      <w:r>
        <w:rPr>
          <w:rFonts w:ascii="Arial" w:cs="Arial" w:eastAsia="Arial" w:hAnsi="Arial"/>
        </w:rPr>
        <w:t xml:space="preserve"> MP × 5% cuando el ET es 75%, o MP × 3% cuando el ET es 50%. El ET nunca supera la MP. La materialidad también tiene una parte </w:t>
      </w:r>
      <w:r>
        <w:rPr>
          <w:rFonts w:ascii="Arial" w:cs="Arial" w:eastAsia="Arial" w:hAnsi="Arial"/>
          <w:b/>
          <w:bCs/>
        </w:rPr>
        <w:t xml:space="preserve">cualitativa</w:t>
      </w:r>
      <w:r>
        <w:rPr>
          <w:rFonts w:ascii="Arial" w:cs="Arial" w:eastAsia="Arial" w:hAnsi="Arial"/>
        </w:rPr>
        <w:t xml:space="preserve"> (clasificación, revelaciones, cumplimiento de leyes, partes vinculadas) que el auditor considera aunque el valor no llegue al importe.</w:t>
      </w:r>
    </w:p>
    <w:p>
      <w:pPr>
        <w:pStyle w:val="Heading1"/>
        <w:keepNext/>
      </w:pPr>
      <w:r>
        <w:rPr>
          <w:rFonts w:ascii="Arial" w:cs="Arial" w:eastAsia="Arial" w:hAnsi="Arial"/>
        </w:rPr>
        <w:t xml:space="preserve">7. Persona natural y persona jurídica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380"/>
        <w:gridCol w:w="3380"/>
      </w:tblGrid>
      <w:tr>
        <w:trPr>
          <w:cantSplit/>
          <w:tblHeader/>
        </w:trPr>
        <w:tc>
          <w:tcPr>
            <w:tcW w:type="dxa" w:w="2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Tema</w:t>
            </w:r>
          </w:p>
        </w:tc>
        <w:tc>
          <w:tcPr>
            <w:tcW w:type="dxa" w:w="338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Persona natural (ejerciente individual)</w:t>
            </w:r>
          </w:p>
        </w:tc>
        <w:tc>
          <w:tcPr>
            <w:tcW w:type="dxa" w:w="338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Persona jurídica (firma)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Equipo y roles</w:t>
            </w:r>
          </w:p>
        </w:tc>
        <w:tc>
          <w:tcPr>
            <w:tcW w:type="dxa" w:w="338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Una sola persona asume los roles de socio, supervisor y auditor. Documente quién revisa su trabajo (por ejemplo, un colega o el revisor de calidad externo).</w:t>
            </w:r>
          </w:p>
        </w:tc>
        <w:tc>
          <w:tcPr>
            <w:tcW w:type="dxa" w:w="338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 asignan responsable del encargo, supervisor y auditores, y cada uno firma su papel.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Independencia</w:t>
            </w:r>
          </w:p>
        </w:tc>
        <w:tc>
          <w:tcPr>
            <w:tcW w:type="dxa" w:w="338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La declara el propio profesional antes de aceptar el encargo.</w:t>
            </w:r>
          </w:p>
        </w:tc>
        <w:tc>
          <w:tcPr>
            <w:tcW w:type="dxa" w:w="338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La firma cada integrante y la revisa el responsable del encargo.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Revisión de calidad</w:t>
            </w:r>
          </w:p>
        </w:tc>
        <w:tc>
          <w:tcPr>
            <w:tcW w:type="dxa" w:w="338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 recomienda en encargos de entidades de interés público o de alto riesgo, con un revisor externo.</w:t>
            </w:r>
          </w:p>
        </w:tc>
        <w:tc>
          <w:tcPr>
            <w:tcW w:type="dxa" w:w="338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Obligatoria según los criterios del manual de calidad.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Cuantía de encargos</w:t>
            </w:r>
          </w:p>
        </w:tc>
        <w:tc>
          <w:tcPr>
            <w:tcW w:type="dxa" w:w="338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Diseñada para un máximo aproximado de cinco encargos de aseguramiento por año.</w:t>
            </w:r>
          </w:p>
        </w:tc>
        <w:tc>
          <w:tcPr>
            <w:tcW w:type="dxa" w:w="338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Sin límite; se ajusta la profundidad según el tamaño y la complejidad.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Documentos</w:t>
            </w:r>
          </w:p>
        </w:tc>
        <w:tc>
          <w:tcPr>
            <w:tcW w:type="dxa" w:w="338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Simplifique las firmas y reuniones: una ayuda de memoria con el cliente y una reunión del propio auditor consigo mismo para el fraude, dejando constancia escrita.</w:t>
            </w:r>
          </w:p>
        </w:tc>
        <w:tc>
          <w:tcPr>
            <w:tcW w:type="dxa" w:w="338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Siga la guía completa, con reuniones del equipo y aprobación del plan.</w:t>
            </w:r>
          </w:p>
        </w:tc>
      </w:tr>
    </w:tbl>
    <w:p>
      <w:pPr>
        <w:spacing w:after="100"/>
      </w:pPr>
    </w:p>
    <w:p>
      <w:pPr>
        <w:pStyle w:val="Heading1"/>
        <w:keepNext/>
      </w:pPr>
      <w:r>
        <w:rPr>
          <w:rFonts w:ascii="Arial" w:cs="Arial" w:eastAsia="Arial" w:hAnsi="Arial"/>
        </w:rPr>
        <w:t xml:space="preserve">8. Ejecución e informe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La ejecución y el informe siguen la secuencia de la Contraloría, adaptada al sector privado. Ejecución: saldos iniciales (PT-EEFF-20); pruebas de controles, analíticas y de detalle (21, 22 y 23) apoyadas en el muestreo (24), la confirmación de terceros (25) y las estimaciones contables (26); y las cédulas sumarias (27), que resumen cada rubro con sus ajustes, observaciones y papeles de soporte. Informe: resumen de diferencias y determinación de la opinión (28); procedimientos finales (29); carta de manifestaciones (30); comunicación de deficiencias y a los encargados del gobierno (31); lista de chequeo de calidad y cierre del archivo (32); guía del informe de auditoría (33); y cinco informes separados, uno por tipo de opinión: sin salvedades (34), con salvedades por incorrección (35), con salvedades por imposibilidad (36), adversa o negativa (37) y abstención (38). El formato 29 de la Contraloría (consolidación) no se desarrolla aquí.</w:t>
      </w:r>
    </w:p>
    <w:p>
      <w:pPr>
        <w:pStyle w:val="Heading1"/>
        <w:keepNext/>
      </w:pPr>
      <w:r>
        <w:rPr>
          <w:rFonts w:ascii="Arial" w:cs="Arial" w:eastAsia="Arial" w:hAnsi="Arial"/>
        </w:rPr>
        <w:t xml:space="preserve">9. Documentación y referenciación</w:t>
      </w:r>
    </w:p>
    <w:p>
      <w:pPr>
        <w:pStyle w:val="ListParagraph"/>
        <w:numPr>
          <w:ilvl w:val="0"/>
          <w:numId w:val="3"/>
        </w:numPr>
        <w:spacing w:after="60" w:line="260"/>
        <w:jc w:val="both"/>
      </w:pPr>
      <w:r>
        <w:rPr>
          <w:rFonts w:ascii="Arial" w:cs="Arial" w:eastAsia="Arial" w:hAnsi="Arial"/>
        </w:rPr>
        <w:t xml:space="preserve">Cada papel lleva su referencia PT-EEFF en el encabezado y el nombre de quien lo preparó y de quien lo revisó, con la fecha.</w:t>
      </w:r>
    </w:p>
    <w:p>
      <w:pPr>
        <w:pStyle w:val="ListParagraph"/>
        <w:numPr>
          <w:ilvl w:val="0"/>
          <w:numId w:val="3"/>
        </w:numPr>
        <w:spacing w:after="60" w:line="260"/>
        <w:jc w:val="both"/>
      </w:pPr>
      <w:r>
        <w:rPr>
          <w:rFonts w:ascii="Arial" w:cs="Arial" w:eastAsia="Arial" w:hAnsi="Arial"/>
        </w:rPr>
        <w:t xml:space="preserve">La evidencia se referencia de forma cruzada (por ejemplo, “ver PT-EEFF-14, riesgo 3”).</w:t>
      </w:r>
    </w:p>
    <w:p>
      <w:pPr>
        <w:pStyle w:val="ListParagraph"/>
        <w:numPr>
          <w:ilvl w:val="0"/>
          <w:numId w:val="3"/>
        </w:numPr>
        <w:spacing w:after="60" w:line="260"/>
        <w:jc w:val="both"/>
      </w:pPr>
      <w:r>
        <w:rPr>
          <w:rFonts w:ascii="Arial" w:cs="Arial" w:eastAsia="Arial" w:hAnsi="Arial"/>
        </w:rPr>
        <w:t xml:space="preserve">El archivo definitivo se cierra a más tardar 60 días después de la fecha del informe. Después de cerrado no se elimina nada; las adiciones se registran con fecha y motivo.</w:t>
      </w:r>
    </w:p>
    <w:p>
      <w:pPr>
        <w:pStyle w:val="ListParagraph"/>
        <w:numPr>
          <w:ilvl w:val="0"/>
          <w:numId w:val="3"/>
        </w:numPr>
        <w:spacing w:after="60" w:line="260"/>
        <w:jc w:val="both"/>
      </w:pPr>
      <w:r>
        <w:rPr>
          <w:rFonts w:ascii="Arial" w:cs="Arial" w:eastAsia="Arial" w:hAnsi="Arial"/>
        </w:rPr>
        <w:t xml:space="preserve">La información se conserva el tiempo que fija el manual de calidad (10 años en el modelo; el mínimo de la NIGC 1 es 5).</w:t>
      </w:r>
    </w:p>
    <w:p>
      <w:pPr>
        <w:pStyle w:val="ListParagraph"/>
        <w:numPr>
          <w:ilvl w:val="0"/>
          <w:numId w:val="3"/>
        </w:numPr>
        <w:spacing w:after="140" w:line="260"/>
        <w:jc w:val="both"/>
      </w:pPr>
      <w:r>
        <w:rPr>
          <w:rFonts w:ascii="Arial" w:cs="Arial" w:eastAsia="Arial" w:hAnsi="Arial"/>
        </w:rPr>
        <w:t xml:space="preserve">La información del cliente es confidencial (PT-CALIDAD-04) y se protege conforme a la Ley 1581 de 2012.</w:t>
      </w:r>
    </w:p>
    <w:p>
      <w:pPr>
        <w:keepNext/>
        <w:spacing w:after="80" w:line="264"/>
        <w:jc w:val="both"/>
      </w:pPr>
      <w:r>
        <w:rPr>
          <w:rFonts w:ascii="Arial" w:cs="Arial" w:eastAsia="Arial" w:hAnsi="Arial"/>
          <w:b/>
          <w:bCs/>
        </w:rPr>
        <w:t xml:space="preserve">Aprobación de la guía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2200"/>
        <w:gridCol w:w="2660"/>
        <w:gridCol w:w="1600"/>
      </w:tblGrid>
      <w:tr>
        <w:trPr>
          <w:tblHeader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Nombre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Cargo</w:t>
            </w:r>
          </w:p>
        </w:tc>
        <w:tc>
          <w:tcPr>
            <w:tcW w:type="dxa" w:w="2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Firma</w:t>
            </w:r>
          </w:p>
        </w:tc>
        <w:tc>
          <w:tcPr>
            <w:tcW w:type="dxa" w:w="1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Fecha</w:t>
            </w:r>
          </w:p>
        </w:tc>
      </w:tr>
      <w:tr>
        <w:trPr>
          <w:cantSplit/>
          <w:trHeight w:val="620" w:hRule="atLeast"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PT-EEFF-00  ·  Guía de auditoría de estados financieros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Guía de auditoría de estados financieros — PT-EEFF-00</dc:title>
  <dc:creator>Assuran</dc:creator>
  <dc:description>Guía metodológica basada en riesgos para revisores fiscales y auditores de estados financieros</dc:description>
  <cp:lastModifiedBy>Un-named</cp:lastModifiedBy>
  <cp:revision>1</cp:revision>
  <dcterms:created xsi:type="dcterms:W3CDTF">2026-11-03T00:57:09.829Z</dcterms:created>
  <dcterms:modified xsi:type="dcterms:W3CDTF">2026-11-03T00:57:09.834Z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