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PT-CUMP-23</w:t>
      </w:r>
    </w:p>
    <w:p>
      <w:pPr>
        <w:spacing w:after="60"/>
      </w:pPr>
      <w:r>
        <w:rPr>
          <w:rFonts w:ascii="Arial" w:cs="Arial" w:eastAsia="Arial" w:hAnsi="Arial"/>
          <w:b/>
          <w:bCs/>
          <w:color w:val="1F2D3D"/>
          <w:sz w:val="52"/>
          <w:szCs w:val="52"/>
        </w:rPr>
        <w:t xml:space="preserve">Informe sin salvedades</w:t>
      </w:r>
    </w:p>
    <w:p>
      <w:pPr>
        <w:spacing w:after="160"/>
      </w:pPr>
      <w:r>
        <w:rPr>
          <w:rFonts w:ascii="Arial" w:cs="Arial" w:eastAsia="Arial" w:hAnsi="Arial"/>
          <w:color w:val="2872FA"/>
          <w:sz w:val="24"/>
          <w:szCs w:val="24"/>
        </w:rPr>
        <w:t xml:space="preserve">Modelo de informe con conclusión no modificada (ISAE 3000, párr. 69 y 72)</w:t>
      </w:r>
    </w:p>
    <w:p>
      <w:pPr>
        <w:spacing w:after="140" w:line="264"/>
        <w:jc w:val="both"/>
      </w:pPr>
      <w:r>
        <w:rPr>
          <w:rFonts w:ascii="Arial" w:cs="Arial" w:eastAsia="Arial" w:hAnsi="Arial"/>
          <w:color w:val="8A6A00"/>
          <w:shd w:fill="FFF4CC" w:color="auto" w:val="clear"/>
        </w:rPr>
        <w:t xml:space="preserve">[Reemplace lo que está entre corchetes y borre las instrucciones. Se firma y se fecha cuando hay evidencia suficiente y está la carta de manifestaciones (PT-CUMP-19). El tipo de conclusión sale del PT-CUMP-21. Persona natural: primera persona del singular. Persona jurídica: primera persona del plural y firma del contador público designado.]</w:t>
      </w:r>
    </w:p>
    <w:p>
      <w:pPr>
        <w:pStyle w:val="Heading2"/>
        <w:keepNext/>
      </w:pPr>
      <w:r>
        <w:rPr>
          <w:rFonts w:ascii="Arial" w:cs="Arial" w:eastAsia="Arial" w:hAnsi="Arial"/>
        </w:rPr>
        <w:t xml:space="preserve">I. Cuándo corresponde</w:t>
      </w:r>
    </w:p>
    <w:p>
      <w:pPr>
        <w:pStyle w:val="ListParagraph"/>
        <w:numPr>
          <w:ilvl w:val="0"/>
          <w:numId w:val="2"/>
        </w:numPr>
        <w:spacing w:after="60" w:line="260"/>
        <w:jc w:val="both"/>
      </w:pPr>
      <w:r>
        <w:rPr>
          <w:rFonts w:ascii="Arial" w:cs="Arial" w:eastAsia="Arial" w:hAnsi="Arial"/>
        </w:rPr>
        <w:t xml:space="preserve">No hay incumplimientos materiales ni significativos sin corregir.</w:t>
      </w:r>
    </w:p>
    <w:p>
      <w:pPr>
        <w:pStyle w:val="ListParagraph"/>
        <w:numPr>
          <w:ilvl w:val="0"/>
          <w:numId w:val="2"/>
        </w:numPr>
        <w:spacing w:after="60" w:line="260"/>
        <w:jc w:val="both"/>
      </w:pPr>
      <w:r>
        <w:rPr>
          <w:rFonts w:ascii="Arial" w:cs="Arial" w:eastAsia="Arial" w:hAnsi="Arial"/>
        </w:rPr>
        <w:t xml:space="preserve">No hubo limitaciones al alcance.</w:t>
      </w:r>
    </w:p>
    <w:p>
      <w:pPr>
        <w:pStyle w:val="ListParagraph"/>
        <w:numPr>
          <w:ilvl w:val="0"/>
          <w:numId w:val="2"/>
        </w:numPr>
        <w:spacing w:after="140" w:line="260"/>
        <w:jc w:val="both"/>
      </w:pPr>
      <w:r>
        <w:rPr>
          <w:rFonts w:ascii="Arial" w:cs="Arial" w:eastAsia="Arial" w:hAnsi="Arial"/>
        </w:rPr>
        <w:t xml:space="preserve">Los incumplimientos menores se comunicaron en el PT-CUMP-20.</w:t>
      </w:r>
    </w:p>
    <w:p>
      <w:pPr>
        <w:pStyle w:val="Heading2"/>
        <w:keepNext/>
      </w:pPr>
      <w:r>
        <w:rPr>
          <w:rFonts w:ascii="Arial" w:cs="Arial" w:eastAsia="Arial" w:hAnsi="Arial"/>
        </w:rPr>
        <w:t xml:space="preserve">II. Modelo de informe</w:t>
      </w:r>
    </w:p>
    <w:p>
      <w:pPr>
        <w:spacing w:after="100" w:line="264"/>
        <w:jc w:val="both"/>
      </w:pPr>
      <w:r>
        <w:rPr>
          <w:rFonts w:ascii="Arial" w:cs="Arial" w:eastAsia="Arial" w:hAnsi="Arial"/>
          <w:b/>
          <w:bCs/>
        </w:rPr>
        <w:t xml:space="preserve">INFORME DE ASEGURAMIENTO RAZONABLE INDEPENDIENTE SOBRE EL CUMPLIMIENTO DE ESTATUTOS, DECISIONES Y NORMAS</w:t>
      </w:r>
    </w:p>
    <w:p>
      <w:pPr>
        <w:spacing w:after="100" w:line="264"/>
        <w:jc w:val="both"/>
      </w:pPr>
      <w:r>
        <w:rPr>
          <w:rFonts w:ascii="Arial" w:cs="Arial" w:eastAsia="Arial" w:hAnsi="Arial"/>
        </w:rPr>
        <w:t xml:space="preserve">A la Asamblea de Accionistas (o Junta de Socios) de </w:t>
      </w:r>
      <w:r>
        <w:rPr>
          <w:rFonts w:ascii="Arial" w:cs="Arial" w:eastAsia="Arial" w:hAnsi="Arial"/>
          <w:color w:val="8A6A00"/>
          <w:shd w:fill="FFF4CC" w:color="auto" w:val="clear"/>
        </w:rPr>
        <w:t xml:space="preserve">[Entidad]</w:t>
      </w:r>
    </w:p>
    <w:p>
      <w:pPr>
        <w:keepNext/>
        <w:spacing w:after="60" w:line="264"/>
        <w:jc w:val="both"/>
      </w:pPr>
      <w:r>
        <w:rPr>
          <w:rFonts w:ascii="Arial" w:cs="Arial" w:eastAsia="Arial" w:hAnsi="Arial"/>
          <w:b/>
          <w:bCs/>
        </w:rPr>
        <w:t xml:space="preserve">Objeto del encargo</w:t>
      </w:r>
    </w:p>
    <w:p>
      <w:pPr>
        <w:spacing w:after="100" w:line="264"/>
        <w:jc w:val="both"/>
      </w:pPr>
      <w:r>
        <w:rPr>
          <w:rFonts w:ascii="Arial" w:cs="Arial" w:eastAsia="Arial" w:hAnsi="Arial"/>
        </w:rPr>
        <w:t xml:space="preserve">He (hemos) realizado un encargo de aseguramiento razonable para dar mi (nuestro) concepto sobre si los actos de los administradores de </w:t>
      </w:r>
      <w:r>
        <w:rPr>
          <w:rFonts w:ascii="Arial" w:cs="Arial" w:eastAsia="Arial" w:hAnsi="Arial"/>
          <w:color w:val="8A6A00"/>
          <w:shd w:fill="FFF4CC" w:color="auto" w:val="clear"/>
        </w:rPr>
        <w:t xml:space="preserve">[Entidad]</w:t>
      </w:r>
      <w:r>
        <w:rPr>
          <w:rFonts w:ascii="Arial" w:cs="Arial" w:eastAsia="Arial" w:hAnsi="Arial"/>
        </w:rPr>
        <w:t xml:space="preserve"> durante el año terminado el </w:t>
      </w:r>
      <w:r>
        <w:rPr>
          <w:rFonts w:ascii="Arial" w:cs="Arial" w:eastAsia="Arial" w:hAnsi="Arial"/>
          <w:color w:val="8A6A00"/>
          <w:shd w:fill="FFF4CC" w:color="auto" w:val="clear"/>
        </w:rPr>
        <w:t xml:space="preserve">[31 de diciembre de 20XX]</w:t>
      </w:r>
      <w:r>
        <w:rPr>
          <w:rFonts w:ascii="Arial" w:cs="Arial" w:eastAsia="Arial" w:hAnsi="Arial"/>
        </w:rPr>
        <w:t xml:space="preserve">, y la forma como se llevan y conservan la correspondencia, los comprobantes de las cuentas y los libros de actas y de registro de acciones se ajustan o se llevan debidamente, según los numerales 1 y 2 del artículo 209 del Código de Comercio, con base en los estatutos de la sociedad, las decisiones de la asamblea o junta de socios y de la junta directiva, y las normas legales descritas en </w:t>
      </w:r>
      <w:r>
        <w:rPr>
          <w:rFonts w:ascii="Arial" w:cs="Arial" w:eastAsia="Arial" w:hAnsi="Arial"/>
          <w:color w:val="8A6A00"/>
          <w:shd w:fill="FFF4CC" w:color="auto" w:val="clear"/>
        </w:rPr>
        <w:t xml:space="preserve">[nota o anexo]</w:t>
      </w:r>
      <w:r>
        <w:rPr>
          <w:rFonts w:ascii="Arial" w:cs="Arial" w:eastAsia="Arial" w:hAnsi="Arial"/>
        </w:rPr>
        <w:t xml:space="preserve">.</w:t>
      </w:r>
    </w:p>
    <w:p>
      <w:pPr>
        <w:keepNext/>
        <w:spacing w:after="60" w:line="264"/>
        <w:jc w:val="both"/>
      </w:pPr>
      <w:r>
        <w:rPr>
          <w:rFonts w:ascii="Arial" w:cs="Arial" w:eastAsia="Arial" w:hAnsi="Arial"/>
          <w:b/>
          <w:bCs/>
        </w:rPr>
        <w:t xml:space="preserve">Conclusión</w:t>
      </w:r>
    </w:p>
    <w:p>
      <w:pPr>
        <w:spacing w:after="100" w:line="264"/>
        <w:jc w:val="both"/>
      </w:pPr>
      <w:r>
        <w:rPr>
          <w:rFonts w:ascii="Arial" w:cs="Arial" w:eastAsia="Arial" w:hAnsi="Arial"/>
        </w:rPr>
        <w:t xml:space="preserve">En mi (nuestra) opinión, en todos los aspectos materiales, los actos de los administradores de </w:t>
      </w:r>
      <w:r>
        <w:rPr>
          <w:rFonts w:ascii="Arial" w:cs="Arial" w:eastAsia="Arial" w:hAnsi="Arial"/>
          <w:color w:val="8A6A00"/>
          <w:shd w:fill="FFF4CC" w:color="auto" w:val="clear"/>
        </w:rPr>
        <w:t xml:space="preserve">[Entidad]</w:t>
      </w:r>
      <w:r>
        <w:rPr>
          <w:rFonts w:ascii="Arial" w:cs="Arial" w:eastAsia="Arial" w:hAnsi="Arial"/>
        </w:rPr>
        <w:t xml:space="preserve"> durante el año terminado el </w:t>
      </w:r>
      <w:r>
        <w:rPr>
          <w:rFonts w:ascii="Arial" w:cs="Arial" w:eastAsia="Arial" w:hAnsi="Arial"/>
          <w:color w:val="8A6A00"/>
          <w:shd w:fill="FFF4CC" w:color="auto" w:val="clear"/>
        </w:rPr>
        <w:t xml:space="preserve">[31 de diciembre de 20XX]</w:t>
      </w:r>
      <w:r>
        <w:rPr>
          <w:rFonts w:ascii="Arial" w:cs="Arial" w:eastAsia="Arial" w:hAnsi="Arial"/>
        </w:rPr>
        <w:t xml:space="preserve">, y la forma como se llevan y conservan la correspondencia, los comprobantes de las cuentas y los libros de actas y de registro de acciones, se ajustan a los estatutos de la sociedad, las decisiones de la asamblea o junta de socios y de la junta directiva, y las normas legales descritas en </w:t>
      </w:r>
      <w:r>
        <w:rPr>
          <w:rFonts w:ascii="Arial" w:cs="Arial" w:eastAsia="Arial" w:hAnsi="Arial"/>
          <w:color w:val="8A6A00"/>
          <w:shd w:fill="FFF4CC" w:color="auto" w:val="clear"/>
        </w:rPr>
        <w:t xml:space="preserve">[nota o anexo]</w:t>
      </w:r>
      <w:r>
        <w:rPr>
          <w:rFonts w:ascii="Arial" w:cs="Arial" w:eastAsia="Arial" w:hAnsi="Arial"/>
        </w:rPr>
        <w:t xml:space="preserve">, y se llevan y conservan debidamente.</w:t>
      </w:r>
    </w:p>
    <w:p>
      <w:pPr>
        <w:keepNext/>
        <w:spacing w:after="60" w:line="264"/>
        <w:jc w:val="both"/>
      </w:pPr>
      <w:r>
        <w:rPr>
          <w:rFonts w:ascii="Arial" w:cs="Arial" w:eastAsia="Arial" w:hAnsi="Arial"/>
          <w:b/>
          <w:bCs/>
        </w:rPr>
        <w:t xml:space="preserve">Fundamento de la conclusión</w:t>
      </w:r>
    </w:p>
    <w:p>
      <w:pPr>
        <w:spacing w:after="100" w:line="264"/>
        <w:jc w:val="both"/>
      </w:pPr>
      <w:r>
        <w:rPr>
          <w:rFonts w:ascii="Arial" w:cs="Arial" w:eastAsia="Arial" w:hAnsi="Arial"/>
        </w:rPr>
        <w:t xml:space="preserve">Efectué (efectuamos) mi (nuestro) encargo de aseguramiento razonable de conformidad con la Norma Internacional de Encargos de Aseguramiento 3000 (ISAE 3000, revisada), Encargos de aseguramiento distintos de la auditoría o de la revisión de información financiera histórica, aceptada en Colombia por el Decreto 302 de 2015. Soy (somos) independiente(s) de la Entidad de acuerdo con los requerimientos de ética aplicables en Colombia, incluidos los de la Ley 43 de 1990 y el Código de Ética para Profesionales de la Contaduría, y he (hemos) cumplido las demás responsabilidades éticas de conformidad con esos requerimientos. La Firma aplica la Norma Internacional de Control de Calidad 1 (NICC 1). Considero (consideramos) que la evidencia que he (hemos) obtenido proporciona una base suficiente y adecuada para fundamentar mi (nuestra) conclusión.</w:t>
      </w:r>
    </w:p>
    <w:p>
      <w:pPr>
        <w:keepNext/>
        <w:spacing w:after="60" w:line="264"/>
        <w:jc w:val="both"/>
      </w:pPr>
      <w:r>
        <w:rPr>
          <w:rFonts w:ascii="Arial" w:cs="Arial" w:eastAsia="Arial" w:hAnsi="Arial"/>
          <w:b/>
          <w:bCs/>
        </w:rPr>
        <w:t xml:space="preserve">Responsabilidad de la administración</w:t>
      </w:r>
    </w:p>
    <w:p>
      <w:pPr>
        <w:spacing w:after="100" w:line="264"/>
        <w:jc w:val="both"/>
      </w:pPr>
      <w:r>
        <w:rPr>
          <w:rFonts w:ascii="Arial" w:cs="Arial" w:eastAsia="Arial" w:hAnsi="Arial"/>
        </w:rPr>
        <w:t xml:space="preserve">La administración es responsable de que la sociedad y sus administradores cumplan los estatutos, las decisiones de los órganos y las normas aplicables, y de llevar y conservar debidamente los libros, la correspondencia y los comprobantes.</w:t>
      </w:r>
    </w:p>
    <w:p>
      <w:pPr>
        <w:keepNext/>
        <w:spacing w:after="60" w:line="264"/>
        <w:jc w:val="both"/>
      </w:pPr>
      <w:r>
        <w:rPr>
          <w:rFonts w:ascii="Arial" w:cs="Arial" w:eastAsia="Arial" w:hAnsi="Arial"/>
          <w:b/>
          <w:bCs/>
        </w:rPr>
        <w:t xml:space="preserve">Responsabilidad del revisor fiscal</w:t>
      </w:r>
    </w:p>
    <w:p>
      <w:pPr>
        <w:spacing w:after="100" w:line="264"/>
        <w:jc w:val="both"/>
      </w:pPr>
      <w:r>
        <w:rPr>
          <w:rFonts w:ascii="Arial" w:cs="Arial" w:eastAsia="Arial" w:hAnsi="Arial"/>
        </w:rPr>
        <w:t xml:space="preserve">Mi (nuestra) responsabilidad es expresar una conclusión sobre el objeto del encargo, con base en la evidencia que obtuve (obtuvimos). Un encargo de aseguramiento razonable incluye entender el marco legal y estatutario de la entidad, valorar los riesgos de incumplimiento, y verificar los actos, las actas, los libros y los comprobantes mediante lectura, inspección, confirmación y los demás procedimientos que consideré (consideramos) necesarios.</w:t>
      </w:r>
    </w:p>
    <w:p>
      <w:pPr>
        <w:keepNext/>
        <w:spacing w:after="60" w:line="264"/>
        <w:jc w:val="both"/>
      </w:pPr>
      <w:r>
        <w:rPr>
          <w:rFonts w:ascii="Arial" w:cs="Arial" w:eastAsia="Arial" w:hAnsi="Arial"/>
          <w:b/>
          <w:bCs/>
        </w:rPr>
        <w:t xml:space="preserve">Limitaciones inherentes</w:t>
      </w:r>
    </w:p>
    <w:p>
      <w:pPr>
        <w:spacing w:after="100" w:line="264"/>
        <w:jc w:val="both"/>
      </w:pPr>
      <w:r>
        <w:rPr>
          <w:rFonts w:ascii="Arial" w:cs="Arial" w:eastAsia="Arial" w:hAnsi="Arial"/>
        </w:rPr>
        <w:t xml:space="preserve">Por las limitaciones inherentes de cualquier verificación, y porque se hace sobre una muestra y sobre la información que entregó la administración, puede haber incumplimientos que no se detecten, en especial los ocultados por colusión o falsificación.</w:t>
      </w:r>
    </w:p>
    <w:p>
      <w:pPr>
        <w:keepNext/>
        <w:spacing w:after="60" w:line="264"/>
        <w:jc w:val="both"/>
      </w:pPr>
      <w:r>
        <w:rPr>
          <w:rFonts w:ascii="Arial" w:cs="Arial" w:eastAsia="Arial" w:hAnsi="Arial"/>
          <w:b/>
          <w:bCs/>
        </w:rPr>
        <w:t xml:space="preserve">Párrafo de énfasis [opcional; si no hay, elimínelo]</w:t>
      </w:r>
    </w:p>
    <w:p>
      <w:pPr>
        <w:spacing w:after="100" w:line="264"/>
        <w:jc w:val="both"/>
      </w:pPr>
      <w:r>
        <w:rPr>
          <w:rFonts w:ascii="Arial" w:cs="Arial" w:eastAsia="Arial" w:hAnsi="Arial"/>
          <w:color w:val="8A6A00"/>
          <w:shd w:fill="FFF4CC" w:color="auto" w:val="clear"/>
        </w:rPr>
        <w:t xml:space="preserve">[Llame la atención sobre un asunto ya revelado y fundamental para el usuario. No modifica la conclusión (párr. 73).]</w:t>
      </w:r>
    </w:p>
    <w:p>
      <w:pPr>
        <w:spacing w:after="0" w:line="264"/>
        <w:jc w:val="left"/>
      </w:pPr>
      <w:r>
        <w:rPr>
          <w:rFonts w:ascii="Arial" w:cs="Arial" w:eastAsia="Arial" w:hAnsi="Arial"/>
          <w:color w:val="8A6A00"/>
          <w:shd w:fill="FFF4CC" w:color="auto" w:val="clear"/>
        </w:rPr>
        <w:t xml:space="preserve">[Nombre del contador público]</w:t>
      </w:r>
    </w:p>
    <w:p>
      <w:pPr>
        <w:spacing w:after="0" w:line="264"/>
        <w:jc w:val="left"/>
      </w:pPr>
      <w:r>
        <w:rPr>
          <w:rFonts w:ascii="Arial" w:cs="Arial" w:eastAsia="Arial" w:hAnsi="Arial"/>
        </w:rPr>
        <w:t xml:space="preserve">Revisor Fiscal, T.P. N.º </w:t>
      </w:r>
      <w:r>
        <w:rPr>
          <w:rFonts w:ascii="Arial" w:cs="Arial" w:eastAsia="Arial" w:hAnsi="Arial"/>
          <w:color w:val="8A6A00"/>
          <w:shd w:fill="FFF4CC" w:color="auto" w:val="clear"/>
        </w:rPr>
        <w:t xml:space="preserve">[número]</w:t>
      </w:r>
    </w:p>
    <w:p>
      <w:pPr>
        <w:spacing w:after="0" w:line="264"/>
        <w:jc w:val="left"/>
      </w:pPr>
      <w:r>
        <w:rPr>
          <w:rFonts w:ascii="Arial" w:cs="Arial" w:eastAsia="Arial" w:hAnsi="Arial"/>
          <w:color w:val="8A6A00"/>
          <w:shd w:fill="FFF4CC" w:color="auto" w:val="clear"/>
        </w:rPr>
        <w:t xml:space="preserve">[Designado por [Firma]</w:t>
      </w:r>
      <w:r>
        <w:rPr>
          <w:rFonts w:ascii="Arial" w:cs="Arial" w:eastAsia="Arial" w:hAnsi="Arial"/>
        </w:rPr>
        <w:t xml:space="preserve">, si aplica]</w:t>
      </w:r>
    </w:p>
    <w:p>
      <w:pPr>
        <w:spacing w:after="0" w:line="264"/>
        <w:jc w:val="left"/>
      </w:pPr>
      <w:r>
        <w:rPr>
          <w:rFonts w:ascii="Arial" w:cs="Arial" w:eastAsia="Arial" w:hAnsi="Arial"/>
          <w:color w:val="8A6A00"/>
          <w:shd w:fill="FFF4CC" w:color="auto" w:val="clear"/>
        </w:rPr>
        <w:t xml:space="preserve">[Ciudad]</w:t>
      </w:r>
      <w:r>
        <w:rPr>
          <w:rFonts w:ascii="Arial" w:cs="Arial" w:eastAsia="Arial" w:hAnsi="Arial"/>
        </w:rPr>
        <w:t xml:space="preserve">, </w:t>
      </w:r>
      <w:r>
        <w:rPr>
          <w:rFonts w:ascii="Arial" w:cs="Arial" w:eastAsia="Arial" w:hAnsi="Arial"/>
          <w:color w:val="8A6A00"/>
          <w:shd w:fill="FFF4CC" w:color="auto" w:val="clear"/>
        </w:rPr>
        <w:t xml:space="preserve">[fecha del informe]</w:t>
      </w:r>
    </w:p>
    <w:p>
      <w:pPr>
        <w:spacing w:after="0" w:line="264"/>
        <w:jc w:val="left"/>
      </w:pPr>
      <w:r>
        <w:rPr>
          <w:rFonts w:ascii="Arial" w:cs="Arial" w:eastAsia="Arial" w:hAnsi="Arial"/>
          <w:color w:val="8A6A00"/>
          <w:shd w:fill="FFF4CC" w:color="auto" w:val="clear"/>
        </w:rPr>
        <w:t xml:space="preserve">[Dirección de la firma o del revisor fiscal]</w:t>
      </w:r>
    </w:p>
    <w:p>
      <w:pPr>
        <w:spacing w:after="60" w:line="264"/>
        <w:jc w:val="both"/>
      </w:pPr>
    </w:p>
    <w:p>
      <w:pPr>
        <w:pStyle w:val="Heading2"/>
        <w:keepNext/>
      </w:pPr>
      <w:r>
        <w:rPr>
          <w:rFonts w:ascii="Arial" w:cs="Arial" w:eastAsia="Arial" w:hAnsi="Arial"/>
        </w:rPr>
        <w:t xml:space="preserve">Revisión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Comentarios del supervisor o del responsable del encargo</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Respuesta del auditor a los comentarios (con fecha)</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80"/>
      </w:pPr>
    </w:p>
    <w:sectPr>
      <w:headerReference w:type="default" r:id="rId6"/>
      <w:headerReference w:type="first" r:id="rId7"/>
      <w:footerReference w:type="default" r:id="rId8"/>
      <w:footerReference w:type="first" r:id="rId9"/>
      <w:pgSz w:w="12240" w:h="15840" w:orient="portrait"/>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93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PT-CUMP-23  ·  Informe sin salvedades</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sin salvedades — PT-CUMP-23</dc:title>
  <dc:creator>Assuran</dc:creator>
  <dc:description>Modelo de informe de aseguramiento razonable sobre cumplimiento, con conclusión no modificada (ISAE 3000, párr. 69 y 72)</dc:description>
  <cp:lastModifiedBy>Un-named</cp:lastModifiedBy>
  <cp:revision>1</cp:revision>
  <dcterms:created xsi:type="dcterms:W3CDTF">2026-11-03T03:55:02.037Z</dcterms:created>
  <dcterms:modified xsi:type="dcterms:W3CDTF">2026-11-03T03:55:02.038Z</dcterms:modified>
</cp:coreProperties>
</file>

<file path=docProps/custom.xml><?xml version="1.0" encoding="utf-8"?>
<Properties xmlns="http://schemas.openxmlformats.org/officeDocument/2006/custom-properties" xmlns:vt="http://schemas.openxmlformats.org/officeDocument/2006/docPropsVTypes"/>
</file>