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PT-CUMP-22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Guía del informe de aseguramiento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Cómo se redacta el informe y cuál de los cuatro modelos usar (ISAE 3000, párr. 67 a 71 y 72 a 77)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1. Qué es el informe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El informe es la forma en que el revisor fiscal expresa su conclusión sobre si los actos de los administradores se ajustan a los estatutos y a las decisiones de los órganos, y si se llevan y conservan debidamente la correspondencia, los comprobantes y los libros. El art. 5 del Decreto 302 de 2015 permite no presentar informes separados, pero exige una opinión o conclusión sobre cada asunto.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Contenido mínimo (párr. 69)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Título</w:t>
      </w:r>
      <w:r>
        <w:rPr>
          <w:rFonts w:ascii="Arial" w:cs="Arial" w:eastAsia="Arial" w:hAnsi="Arial"/>
        </w:rPr>
        <w:t xml:space="preserve"> que diga que es un informe de aseguramiento independiente.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Destinatario</w:t>
      </w:r>
      <w:r>
        <w:rPr>
          <w:rFonts w:ascii="Arial" w:cs="Arial" w:eastAsia="Arial" w:hAnsi="Arial"/>
        </w:rPr>
        <w:t xml:space="preserve">: la asamblea de accionistas o la junta de socios.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Descripción de la materia</w:t>
      </w:r>
      <w:r>
        <w:rPr>
          <w:rFonts w:ascii="Arial" w:cs="Arial" w:eastAsia="Arial" w:hAnsi="Arial"/>
        </w:rPr>
        <w:t xml:space="preserve">: los actos de los administradores y los libros y documentos, y el periodo.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Criterios</w:t>
      </w:r>
      <w:r>
        <w:rPr>
          <w:rFonts w:ascii="Arial" w:cs="Arial" w:eastAsia="Arial" w:hAnsi="Arial"/>
        </w:rPr>
        <w:t xml:space="preserve">: los estatutos, las decisiones de los órganos y las normas incluidas en el alcance.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Nivel de seguridad</w:t>
      </w:r>
      <w:r>
        <w:rPr>
          <w:rFonts w:ascii="Arial" w:cs="Arial" w:eastAsia="Arial" w:hAnsi="Arial"/>
        </w:rPr>
        <w:t xml:space="preserve">: razonable.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Limitaciones inherentes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Responsabilidades</w:t>
      </w:r>
      <w:r>
        <w:rPr>
          <w:rFonts w:ascii="Arial" w:cs="Arial" w:eastAsia="Arial" w:hAnsi="Arial"/>
        </w:rPr>
        <w:t xml:space="preserve"> de la administración y del revisor fiscal.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Cumplimiento</w:t>
      </w:r>
      <w:r>
        <w:rPr>
          <w:rFonts w:ascii="Arial" w:cs="Arial" w:eastAsia="Arial" w:hAnsi="Arial"/>
        </w:rPr>
        <w:t xml:space="preserve"> de la ISAE 3000 y de la NICC 1, e independencia y ética.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Resumen del trabajo</w:t>
      </w:r>
      <w:r>
        <w:rPr>
          <w:rFonts w:ascii="Arial" w:cs="Arial" w:eastAsia="Arial" w:hAnsi="Arial"/>
        </w:rPr>
        <w:t xml:space="preserve"> hecho.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Conclusión</w:t>
      </w:r>
      <w:r>
        <w:rPr>
          <w:rFonts w:ascii="Arial" w:cs="Arial" w:eastAsia="Arial" w:hAnsi="Arial"/>
        </w:rPr>
        <w:t xml:space="preserve">, clara y separada de otras explicaciones.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Fundamento de la conclusión</w:t>
      </w:r>
      <w:r>
        <w:rPr>
          <w:rFonts w:ascii="Arial" w:cs="Arial" w:eastAsia="Arial" w:hAnsi="Arial"/>
        </w:rPr>
        <w:t xml:space="preserve">, cuando es modificada.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Firma, tarjeta profesional, fecha y lugar.</w:t>
      </w:r>
      <w:r>
        <w:rPr>
          <w:rFonts w:ascii="Arial" w:cs="Arial" w:eastAsia="Arial" w:hAnsi="Arial"/>
        </w:rPr>
        <w:t xml:space="preserve"> La fecha no puede ser anterior a la de la evidencia ni a las manifestaciones (PT-CUMP-19).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Qué modelo usar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cantSplit/>
          <w:tblHeader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Si la conclusión es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Modelo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Sin salvedades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PT-CUMP-23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Con salvedades (incumplimiento o limitación aislada)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PT-CUMP-24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Adversa (hay incumplimientos materiales y generalizados)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PT-CUMP-25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Denegación (no se pudo obtener evidencia)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PT-CUMP-26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4. Reglas de redacción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Use el lenguaje del criterio: “los actos de los administradores se ajustan a los estatutos y a las decisiones de la asamblea o junta”.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En una conclusión modificada, describa el incumplimiento o la limitación, su efecto y las áreas afectadas. Los detalles menores van en el PT-CUMP-20.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Diga siempre “seguridad razonable”.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Un párrafo de énfasis o de otras cuestiones no modifica la conclusión (párr. 73).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Si hay incumplimientos y limitaciones a la vez, diga ambos (párr. 76).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La conclusión es sobre el periodo; no la proyecte a periodos futuros.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Si una norma le impone la forma del informe, evalúe si puede llevar a error (párr. 71).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5. Cómo se integra con los demás informes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presenta un solo informe del revisor fiscal, ponga la opinión sobre estados financieros, la conclusión sobre control interno y la de cumplimiento, cada una con su título y su fundamento. El bloque PT-GEST-25 muestra cómo consolidarlas.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PT-CUMP-22  ·  Guía del informe de aseguramiento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del informe de aseguramiento — PT-CUMP-22</dc:title>
  <dc:creator>Assuran</dc:creator>
  <dc:description>Contenido mínimo y reglas de redacción del informe sobre cumplimiento (ISAE 3000, párr. 67 a 71)</dc:description>
  <cp:lastModifiedBy>Un-named</cp:lastModifiedBy>
  <cp:revision>1</cp:revision>
  <dcterms:created xsi:type="dcterms:W3CDTF">2026-11-03T03:55:01.768Z</dcterms:created>
  <dcterms:modified xsi:type="dcterms:W3CDTF">2026-11-03T03:55:01.768Z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