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00"/>
      </w:pPr>
      <w:r>
        <w:rPr>
          <w:rFonts w:ascii="Consolas" w:cs="Consolas" w:eastAsia="Consolas" w:hAnsi="Consolas"/>
          <w:b/>
          <w:bCs/>
          <w:color w:val="6B7A8C"/>
          <w:sz w:val="20"/>
          <w:szCs w:val="20"/>
        </w:rPr>
        <w:t xml:space="preserve">PT-CUMP-20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F2D3D"/>
          <w:sz w:val="52"/>
          <w:szCs w:val="52"/>
        </w:rPr>
        <w:t xml:space="preserve">Comunicación de irregularidades</w:t>
      </w:r>
    </w:p>
    <w:p>
      <w:pPr>
        <w:spacing w:after="160"/>
      </w:pPr>
      <w:r>
        <w:rPr>
          <w:rFonts w:ascii="Arial" w:cs="Arial" w:eastAsia="Arial" w:hAnsi="Arial"/>
          <w:color w:val="2872FA"/>
          <w:sz w:val="24"/>
          <w:szCs w:val="24"/>
        </w:rPr>
        <w:t xml:space="preserve">Cuenta oportuna por escrito de los incumplimientos (ISAE 3000, párr. 78; Código de Comercio, art. 207, numerales 2 y 3)</w:t>
      </w:r>
    </w:p>
    <w:p>
      <w:pPr>
        <w:spacing w:after="11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[Comunique por escrito y con oportunidad, sin esperar al informe. Los incumplimientos significativos y materiales (PT-CUMP-17) van a la junta directiva, a la asamblea o a los socios y al representante legal. Si las irregularidades afectan la conducta de los administradores o el patrimonio de la entidad, evalúe además si debe dar cuenta a la asamblea o a la junta, y las actuaciones que la ley le exige. Consulte las normas aplicables y, si hace falta, un abogado, antes de enviar.]</w:t>
      </w:r>
    </w:p>
    <w:p>
      <w:pPr>
        <w:spacing w:after="110" w:line="264"/>
        <w:jc w:val="left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[Ciudad]</w:t>
      </w:r>
      <w:r>
        <w:rPr>
          <w:rFonts w:ascii="Arial" w:cs="Arial" w:eastAsia="Arial" w:hAnsi="Arial"/>
        </w:rPr>
        <w:t xml:space="preserve">,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[fecha]</w:t>
      </w:r>
    </w:p>
    <w:p>
      <w:pPr>
        <w:spacing w:after="0" w:line="264"/>
        <w:jc w:val="left"/>
      </w:pPr>
      <w:r>
        <w:rPr>
          <w:rFonts w:ascii="Arial" w:cs="Arial" w:eastAsia="Arial" w:hAnsi="Arial"/>
        </w:rPr>
        <w:t xml:space="preserve">Señores</w:t>
      </w:r>
    </w:p>
    <w:p>
      <w:pPr>
        <w:spacing w:after="0" w:line="264"/>
        <w:jc w:val="left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[Junta directiva, asamblea o socios]</w:t>
      </w:r>
      <w:r>
        <w:rPr>
          <w:rFonts w:ascii="Arial" w:cs="Arial" w:eastAsia="Arial" w:hAnsi="Arial"/>
        </w:rPr>
        <w:t xml:space="preserve"> y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[Representante legal]</w:t>
      </w:r>
    </w:p>
    <w:p>
      <w:pPr>
        <w:spacing w:after="140" w:line="264"/>
        <w:jc w:val="left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[Entidad]</w:t>
      </w:r>
    </w:p>
    <w:p>
      <w:pPr>
        <w:spacing w:after="110" w:line="264"/>
        <w:jc w:val="left"/>
      </w:pPr>
      <w:r>
        <w:rPr>
          <w:rFonts w:ascii="Arial" w:cs="Arial" w:eastAsia="Arial" w:hAnsi="Arial"/>
          <w:b/>
          <w:bCs/>
        </w:rPr>
        <w:t xml:space="preserve">Asunto: incumplimientos identificados en el periodo [periodo].</w:t>
      </w:r>
    </w:p>
    <w:p>
      <w:pPr>
        <w:spacing w:after="110" w:line="264"/>
        <w:jc w:val="both"/>
      </w:pPr>
      <w:r>
        <w:rPr>
          <w:rFonts w:ascii="Arial" w:cs="Arial" w:eastAsia="Arial" w:hAnsi="Arial"/>
        </w:rPr>
        <w:t xml:space="preserve">En desarrollo del encargo de aseguramiento sobre el cumplimiento de estatutos, decisiones de los órganos y normas, y en cumplimiento del art. 207, numerales 2 y 3, del Código de Comercio, informamos los incumplimientos que identificamos. Esta comunicación no es una lista completa de todo lo que pudo fallar: solo incluye lo que conocimos durante el trabajo.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"/>
        <w:gridCol w:w="2059"/>
        <w:gridCol w:w="936"/>
        <w:gridCol w:w="1498"/>
        <w:gridCol w:w="2246"/>
        <w:gridCol w:w="1123"/>
        <w:gridCol w:w="1030"/>
      </w:tblGrid>
      <w:tr>
        <w:trPr>
          <w:cantSplit/>
          <w:tblHeader/>
        </w:trPr>
        <w:tc>
          <w:tcPr>
            <w:tcW w:type="dxa" w:w="46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N.º</w:t>
            </w:r>
          </w:p>
        </w:tc>
        <w:tc>
          <w:tcPr>
            <w:tcW w:type="dxa" w:w="2059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Incumplimiento</w:t>
            </w:r>
          </w:p>
        </w:tc>
        <w:tc>
          <w:tcPr>
            <w:tcW w:type="dxa" w:w="93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Norma, cláusula o decisión</w:t>
            </w:r>
          </w:p>
        </w:tc>
        <w:tc>
          <w:tcPr>
            <w:tcW w:type="dxa" w:w="149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Efecto posible</w:t>
            </w:r>
          </w:p>
        </w:tc>
        <w:tc>
          <w:tcPr>
            <w:tcW w:type="dxa" w:w="22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Recomendación</w:t>
            </w:r>
          </w:p>
        </w:tc>
        <w:tc>
          <w:tcPr>
            <w:tcW w:type="dxa" w:w="1123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Responsable sugerido</w:t>
            </w:r>
          </w:p>
        </w:tc>
        <w:tc>
          <w:tcPr>
            <w:tcW w:type="dxa" w:w="103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Plazo</w:t>
            </w:r>
          </w:p>
        </w:tc>
      </w:tr>
      <w:tr>
        <w:trPr>
          <w:cantSplit/>
        </w:trPr>
        <w:tc>
          <w:tcPr>
            <w:tcW w:type="dxa" w:w="46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1</w:t>
            </w:r>
          </w:p>
        </w:tc>
        <w:tc>
          <w:tcPr>
            <w:tcW w:type="dxa" w:w="2059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[Ej.]</w:t>
            </w:r>
            <w:r>
              <w:rPr>
                <w:rFonts w:ascii="Arial" w:cs="Arial" w:eastAsia="Arial" w:hAnsi="Arial"/>
              </w:rPr>
              <w:t xml:space="preserve"> Contrato de arrendamiento firmado sin la autorización de la junta exigida por los estatutos</w:t>
            </w:r>
          </w:p>
        </w:tc>
        <w:tc>
          <w:tcPr>
            <w:tcW w:type="dxa" w:w="93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[Art. N.º de los estatutos]</w:t>
            </w:r>
          </w:p>
        </w:tc>
        <w:tc>
          <w:tcPr>
            <w:tcW w:type="dxa" w:w="149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[Nulidad o responsabilidad del administrador]</w:t>
            </w:r>
          </w:p>
        </w:tc>
        <w:tc>
          <w:tcPr>
            <w:tcW w:type="dxa" w:w="22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[Someter a ratificación de la junta y ajustar el procedimiento]</w:t>
            </w:r>
          </w:p>
        </w:tc>
        <w:tc>
          <w:tcPr>
            <w:tcW w:type="dxa" w:w="1123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[Gerente]</w:t>
            </w:r>
          </w:p>
        </w:tc>
        <w:tc>
          <w:tcPr>
            <w:tcW w:type="dxa" w:w="103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[Fecha]</w:t>
            </w:r>
          </w:p>
        </w:tc>
      </w:tr>
      <w:tr>
        <w:trPr>
          <w:cantSplit/>
        </w:trPr>
        <w:tc>
          <w:tcPr>
            <w:tcW w:type="dxa" w:w="46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2059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3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49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123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03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2059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3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49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123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03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2059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3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49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123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03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2059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3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49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123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03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2059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3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49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123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03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2059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3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49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123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03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  <w:tc>
          <w:tcPr>
            <w:tcW w:type="dxa" w:w="2059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3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49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123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03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p>
      <w:pPr>
        <w:spacing w:after="80"/>
      </w:pPr>
    </w:p>
    <w:p>
      <w:pPr>
        <w:spacing w:after="110" w:line="264"/>
        <w:jc w:val="both"/>
      </w:pPr>
      <w:r>
        <w:rPr>
          <w:rFonts w:ascii="Arial" w:cs="Arial" w:eastAsia="Arial" w:hAnsi="Arial"/>
        </w:rPr>
        <w:t xml:space="preserve">Les pedimos responder por escrito qué acciones tomarán y en qué plazo. Daremos seguimiento en las siguientes visitas.</w:t>
      </w:r>
    </w:p>
    <w:p>
      <w:pPr>
        <w:spacing w:after="0" w:line="264"/>
        <w:jc w:val="left"/>
      </w:pPr>
      <w:r>
        <w:rPr>
          <w:rFonts w:ascii="Arial" w:cs="Arial" w:eastAsia="Arial" w:hAnsi="Arial"/>
        </w:rPr>
        <w:t xml:space="preserve">Atentamente,</w:t>
      </w:r>
    </w:p>
    <w:p>
      <w:pPr>
        <w:spacing w:after="140" w:line="264"/>
        <w:jc w:val="left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[Nombre del revisor fiscal]</w:t>
      </w:r>
      <w:r>
        <w:rPr>
          <w:rFonts w:ascii="Arial" w:cs="Arial" w:eastAsia="Arial" w:hAnsi="Arial"/>
        </w:rPr>
        <w:t xml:space="preserve">, T.P.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[número]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Respuesta de la administración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Acciones, responsables y fechas, con la firma del representante legal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sectPr>
      <w:headerReference w:type="default" r:id="rId6"/>
      <w:headerReference w:type="first" r:id="rId7"/>
      <w:footerReference w:type="default" r:id="rId8"/>
      <w:footerReference w:type="first" r:id="rId9"/>
      <w:pgSz w:w="12240" w:h="15840" w:orient="portrait"/>
      <w:pgMar w:top="1700" w:right="1440" w:bottom="1250" w:left="1440" w:header="560" w:footer="56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C9D9" w:sz="6" w:space="4"/>
      </w:pBdr>
      <w:tabs>
        <w:tab w:val="right" w:pos="9360"/>
      </w:tabs>
      <w:spacing w:after="0"/>
    </w:pPr>
    <w:r>
      <w:drawing>
        <wp:inline distT="0" distB="0" distL="0" distR="0">
          <wp:extent cx="438150" cy="367733"/>
          <wp:effectExtent t="0" r="0" b="0" l="0"/>
          <wp:docPr id="2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367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6B7A8C"/>
        <w:sz w:val="18"/>
        <w:szCs w:val="18"/>
      </w:rPr>
      <w:t xml:space="preserve">   PAPEL DE TRABAJO  ·  PT-CUMP-20  ·  Comunicación de irregularidades</w:t>
    </w:r>
    <w:r>
      <w:rPr>
        <w:rFonts w:ascii="Arial" w:cs="Arial" w:eastAsia="Arial" w:hAnsi="Arial"/>
        <w:color w:val="8A6A00"/>
        <w:sz w:val="18"/>
        <w:szCs w:val="18"/>
      </w:rPr>
      <w:t xml:space="preserve">	[Escriba el nombre de la firma]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360"/>
      </w:tabs>
      <w:spacing w:after="0"/>
    </w:pPr>
    <w:r>
      <w:drawing>
        <wp:inline distT="0" distB="0" distL="0" distR="0">
          <wp:extent cx="990600" cy="831396"/>
          <wp:effectExtent t="0" r="0" b="0" l="0"/>
          <wp:docPr id="1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31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872FA"/>
        <w:sz w:val="22"/>
        <w:szCs w:val="22"/>
      </w:rPr>
      <w:t xml:space="preserve">	PAPEL DE TRABAJO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B36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872FA" w:sz="8" w:space="3"/>
      </w:pBdr>
      <w:spacing w:after="120" w:before="300"/>
      <w:outlineLvl w:val="0"/>
    </w:pPr>
    <w:rPr>
      <w:rFonts w:ascii="Arial" w:cs="Arial" w:eastAsia="Arial" w:hAnsi="Arial"/>
      <w:b/>
      <w:bCs/>
      <w:color w:val="1F2D3D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rFonts w:ascii="Arial" w:cs="Arial" w:eastAsia="Arial" w:hAnsi="Arial"/>
      <w:b/>
      <w:bCs/>
      <w:color w:val="2872FA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Comunicación de irregularidades — PT-CUMP-20</dc:title>
  <dc:creator>Assuran</dc:creator>
  <dc:description>Carta a la administración, a la junta o a la asamblea con los incumplimientos y las recomendaciones (ISAE 3000, párr. 78; Código de Comercio, art. 207-2 y 207-3)</dc:description>
  <cp:lastModifiedBy>Un-named</cp:lastModifiedBy>
  <cp:revision>1</cp:revision>
  <dcterms:created xsi:type="dcterms:W3CDTF">2026-11-03T03:55:01.268Z</dcterms:created>
  <dcterms:modified xsi:type="dcterms:W3CDTF">2026-11-03T03:55:01.269Z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