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PT-CUMP-07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Fraude, actos ilegales y conflictos de interés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Indagaciones y respuesta al riesgo de incumplimiento intencional (ISAE 3000, párr. 45 y 47R)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[Los incumplimientos más graves son los intencionales. Pregunte a quien corresponda y compare las respuestas con las actas y los contratos. Si encuentra indicios de fraude u operaciones sospechosas, puede tener que reportarlos (Código de Comercio, art. 207, numerales 2 y 10); consulte antes de hablar con terceros, por la reserva del art. 214.]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Indagaciones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3182"/>
        <w:gridCol w:w="1498"/>
        <w:gridCol w:w="4212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 quién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Respuesta y observaciones del auditor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¿Conoce actos de la administración que se hayan hecho sin autorización de la junta o de la asamblea?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Socios, junta directiva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han celebrado operaciones con socios, administradores o sus familiares? ¿Quién las aprobó?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legal, contador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¿Algún administrador tiene intereses en proveedores, clientes o contratistas de la sociedad?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4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¿Hubo sanciones, requerimientos o denuncias de autoridades o de terceros en el periodo?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legal, abogado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5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¿Hubo operaciones inusuales en efectivo o con terceros sin explicación comercial clara?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Contador, tesorería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6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han ocultado o modificado documentos o actas?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Secretario, contador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7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¿Los socios minoritarios han presentado reclamos?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Secretario, abogado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8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¿Hay procesos judiciales o arbitrales en contra de la sociedad o de sus administradores?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Abogado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Procedimientos mínimos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Comparar los contratos y pagos significativos con los límites de las facultades de los administradores.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Revisar las operaciones con partes vinculadas y su aprobación.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Leer las actas posteriores al cierre, buscando hechos que cambien la evaluación.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Incluir un elemento de imprevisibilidad: pedir documentos que la entidad no espera.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Riesgos de incumplimiento intencional identificados y procedimientos específicos incluidos en el programa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PT-CUMP-07  ·  Fraude, actos ilegales y conflictos de interés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Fraude, actos ilegales y conflictos de interés — PT-CUMP-07</dc:title>
  <dc:creator>Assuran</dc:creator>
  <dc:description>Indagación sobre fraude, actos contrarios a la ley o a los estatutos y conflictos de interés de los administradores (ISAE 3000, párr. 45 y 47R)</dc:description>
  <cp:lastModifiedBy>Un-named</cp:lastModifiedBy>
  <cp:revision>1</cp:revision>
  <dcterms:created xsi:type="dcterms:W3CDTF">2026-11-03T03:54:57.702Z</dcterms:created>
  <dcterms:modified xsi:type="dcterms:W3CDTF">2026-11-03T03:54:57.703Z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