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PT-CUMP-01</w:t>
      </w:r>
    </w:p>
    <w:p>
      <w:pPr>
        <w:spacing w:after="60"/>
      </w:pPr>
      <w:r>
        <w:rPr>
          <w:rFonts w:ascii="Arial" w:cs="Arial" w:eastAsia="Arial" w:hAnsi="Arial"/>
          <w:b/>
          <w:bCs/>
          <w:color w:val="1F2D3D"/>
          <w:sz w:val="52"/>
          <w:szCs w:val="52"/>
        </w:rPr>
        <w:t xml:space="preserve">Aceptación del encargo y condiciones previas</w:t>
      </w:r>
    </w:p>
    <w:p>
      <w:pPr>
        <w:spacing w:after="160"/>
      </w:pPr>
      <w:r>
        <w:rPr>
          <w:rFonts w:ascii="Arial" w:cs="Arial" w:eastAsia="Arial" w:hAnsi="Arial"/>
          <w:color w:val="2872FA"/>
          <w:sz w:val="24"/>
          <w:szCs w:val="24"/>
        </w:rPr>
        <w:t xml:space="preserve">Párrafos 21 a 26 de la ISAE 3000: ética, competencia, condiciones previas y propósito racional</w:t>
      </w:r>
    </w:p>
    <w:p>
      <w:pPr>
        <w:spacing w:after="110" w:line="264"/>
        <w:jc w:val="both"/>
      </w:pPr>
      <w:r>
        <w:rPr>
          <w:rFonts w:ascii="Arial" w:cs="Arial" w:eastAsia="Arial" w:hAnsi="Arial"/>
          <w:color w:val="8A6A00"/>
          <w:shd w:fill="FFF4CC" w:color="auto" w:val="clear"/>
        </w:rPr>
        <w:t xml:space="preserve">[Complete antes de firmar la carta de encargo. Si es revisor fiscal nombrado por la asamblea, el encargo existe por ley, pero igual debe comprobar que puede concluir con aseguramiento. Si una condición previa no se cumple, no puede decir que el trabajo cumple la ISAE 3000 (párr. 25). Para la aceptación general use el PT-CALIDAD-06 o 07.]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Cliente</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 el nombre o razón social]</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NIT</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 el NIT]</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Periodo auditado</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color w:val="8A6A00"/>
                <w:shd w:fill="FFF4CC" w:color="auto" w:val="clear"/>
              </w:rPr>
              <w:t xml:space="preserve">[Escriba el periodo, por ejemplo 1 de enero a 31 de diciembre de 2026]</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Preparó (nombre y fecha)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Revisó (nombre y fecha)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Periodo auditado</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Estatutos vigentes (fecha de la última reforma)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bl>
    <w:p>
      <w:pPr>
        <w:pStyle w:val="Heading2"/>
        <w:keepNext/>
      </w:pPr>
      <w:r>
        <w:rPr>
          <w:rFonts w:ascii="Arial" w:cs="Arial" w:eastAsia="Arial" w:hAnsi="Arial"/>
        </w:rPr>
        <w:t xml:space="preserve">I. Ética, competencia y recursos (párr. 21 a 23)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720"/>
        <w:gridCol w:w="720"/>
        <w:gridCol w:w="720"/>
        <w:gridCol w:w="2200"/>
      </w:tblGrid>
      <w:tr>
        <w:trPr>
          <w:cantSplit/>
          <w:tblHeader/>
        </w:trPr>
        <w:tc>
          <w:tcPr>
            <w:tcW w:type="dxa" w:w="6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44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Pregunta</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Sí</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No</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N/A</w:t>
            </w:r>
          </w:p>
        </w:tc>
        <w:tc>
          <w:tcPr>
            <w:tcW w:type="dxa" w:w="22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Referencia</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1</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Firma y el equipo cumplen el Código de Ética (independencia, art. 205 del Código de Comercio, y PT-CALIDAD-05).</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2</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integrantes firmaron la declaración de confidencialidad (PT-CALIDAD-04).</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3</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equipo tiene la competencia y el tiempo para un encargo de cumplimiento: estatutos, derecho societario y normas aplicables.</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4</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responsable del encargo cumple el art. 215 del Código de Comercio (contador público; no más de cinco sociedades por acciones).</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5</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completó el procedimiento de aceptación o continuidad de la Firma (PT-CALIDAD-06 o 07).</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spacing w:after="80"/>
      </w:pPr>
    </w:p>
    <w:p>
      <w:pPr>
        <w:pStyle w:val="Heading2"/>
        <w:keepNext/>
      </w:pPr>
      <w:r>
        <w:rPr>
          <w:rFonts w:ascii="Arial" w:cs="Arial" w:eastAsia="Arial" w:hAnsi="Arial"/>
        </w:rPr>
        <w:t xml:space="preserve">II. Condiciones previas (párr. 24)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720"/>
        <w:gridCol w:w="720"/>
        <w:gridCol w:w="720"/>
        <w:gridCol w:w="2200"/>
      </w:tblGrid>
      <w:tr>
        <w:trPr>
          <w:cantSplit/>
          <w:tblHeader/>
        </w:trPr>
        <w:tc>
          <w:tcPr>
            <w:tcW w:type="dxa" w:w="6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44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Pregunta</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Sí</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No</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N/A</w:t>
            </w:r>
          </w:p>
        </w:tc>
        <w:tc>
          <w:tcPr>
            <w:tcW w:type="dxa" w:w="22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Referencia</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1</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Las </w:t>
            </w:r>
            <w:r>
              <w:rPr>
                <w:rFonts w:ascii="Arial" w:cs="Arial" w:eastAsia="Arial" w:hAnsi="Arial"/>
                <w:b/>
                <w:bCs/>
              </w:rPr>
              <w:t xml:space="preserve">funciones y responsabilidades</w:t>
            </w:r>
            <w:r>
              <w:rPr>
                <w:rFonts w:ascii="Arial" w:cs="Arial" w:eastAsia="Arial" w:hAnsi="Arial"/>
              </w:rPr>
              <w:t xml:space="preserve"> están claras: la administración es responsable de cumplir estatutos, decisiones y normas; el revisor fiscal, de dar su concepto.</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2</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w:t>
            </w:r>
            <w:r>
              <w:rPr>
                <w:rFonts w:ascii="Arial" w:cs="Arial" w:eastAsia="Arial" w:hAnsi="Arial"/>
                <w:b/>
                <w:bCs/>
              </w:rPr>
              <w:t xml:space="preserve">materia</w:t>
            </w:r>
            <w:r>
              <w:rPr>
                <w:rFonts w:ascii="Arial" w:cs="Arial" w:eastAsia="Arial" w:hAnsi="Arial"/>
              </w:rPr>
              <w:t xml:space="preserve"> es adecuada: los actos de los administradores, los libros y los documentos del periodo son identificables y se pueden evaluar.</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3</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w:t>
            </w:r>
            <w:r>
              <w:rPr>
                <w:rFonts w:ascii="Arial" w:cs="Arial" w:eastAsia="Arial" w:hAnsi="Arial"/>
                <w:b/>
                <w:bCs/>
              </w:rPr>
              <w:t xml:space="preserve">criterios son idóneos</w:t>
            </w:r>
            <w:r>
              <w:rPr>
                <w:rFonts w:ascii="Arial" w:cs="Arial" w:eastAsia="Arial" w:hAnsi="Arial"/>
              </w:rPr>
              <w:t xml:space="preserve">: los estatutos, las decisiones de los órganos y las normas que fija el PT-CUMP-03 son relevantes, completos, fiables, neutrales y comprensibles.</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4</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criterios están </w:t>
            </w:r>
            <w:r>
              <w:rPr>
                <w:rFonts w:ascii="Arial" w:cs="Arial" w:eastAsia="Arial" w:hAnsi="Arial"/>
                <w:b/>
                <w:bCs/>
              </w:rPr>
              <w:t xml:space="preserve">disponibles</w:t>
            </w:r>
            <w:r>
              <w:rPr>
                <w:rFonts w:ascii="Arial" w:cs="Arial" w:eastAsia="Arial" w:hAnsi="Arial"/>
              </w:rPr>
              <w:t xml:space="preserve"> para los usuarios y se citan en el informe.</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5</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puede obtener </w:t>
            </w:r>
            <w:r>
              <w:rPr>
                <w:rFonts w:ascii="Arial" w:cs="Arial" w:eastAsia="Arial" w:hAnsi="Arial"/>
                <w:b/>
                <w:bCs/>
              </w:rPr>
              <w:t xml:space="preserve">evidencia suficiente y adecuada</w:t>
            </w:r>
            <w:r>
              <w:rPr>
                <w:rFonts w:ascii="Arial" w:cs="Arial" w:eastAsia="Arial" w:hAnsi="Arial"/>
              </w:rPr>
              <w:t xml:space="preserve"> (acceso a actas, libros, contratos, comprobantes y personas; art. 213 del Código de Comercio).</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6</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conclusión se puede expresar en un </w:t>
            </w:r>
            <w:r>
              <w:rPr>
                <w:rFonts w:ascii="Arial" w:cs="Arial" w:eastAsia="Arial" w:hAnsi="Arial"/>
                <w:b/>
                <w:bCs/>
              </w:rPr>
              <w:t xml:space="preserve">informe escrito</w:t>
            </w:r>
            <w:r>
              <w:rPr>
                <w:rFonts w:ascii="Arial" w:cs="Arial" w:eastAsia="Arial" w:hAnsi="Arial"/>
              </w:rPr>
              <w:t xml:space="preserve">.</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7</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No hay limitación al alcance impuesta por la administración y el encargo tiene un </w:t>
            </w:r>
            <w:r>
              <w:rPr>
                <w:rFonts w:ascii="Arial" w:cs="Arial" w:eastAsia="Arial" w:hAnsi="Arial"/>
                <w:b/>
                <w:bCs/>
              </w:rPr>
              <w:t xml:space="preserve">propósito racional</w:t>
            </w:r>
            <w:r>
              <w:rPr>
                <w:rFonts w:ascii="Arial" w:cs="Arial" w:eastAsia="Arial" w:hAnsi="Arial"/>
              </w:rPr>
              <w:t xml:space="preserve">.</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spacing w:after="80"/>
      </w:pPr>
    </w:p>
    <w:p>
      <w:pPr>
        <w:pStyle w:val="Heading2"/>
        <w:keepNext/>
      </w:pPr>
      <w:r>
        <w:rPr>
          <w:rFonts w:ascii="Arial" w:cs="Arial" w:eastAsia="Arial" w:hAnsi="Arial"/>
        </w:rPr>
        <w:t xml:space="preserve">III. Decisión</w:t>
      </w:r>
    </w:p>
    <w:p>
      <w:pPr>
        <w:spacing w:after="60" w:line="264"/>
        <w:jc w:val="both"/>
      </w:pPr>
      <w:r>
        <w:rPr>
          <w:rFonts w:ascii="Arial" w:cs="Arial" w:eastAsia="Arial" w:hAnsi="Arial"/>
        </w:rPr>
        <w:t xml:space="preserve">Si alguna respuesta es “No”, explique y decida entre no aceptar o pedir que se corrija la condición. No acepte una limitación al alcance impuesta antes del encargo (párr. 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Decisión (acepta, acepta con condiciones, no acepta) y razones</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p>
      <w:pPr>
        <w:spacing w:after="100" w:line="264"/>
        <w:jc w:val="both"/>
      </w:pPr>
      <w:r>
        <w:rPr>
          <w:rFonts w:ascii="Arial" w:cs="Arial" w:eastAsia="Arial" w:hAnsi="Arial"/>
          <w:b/>
          <w:bCs/>
        </w:rPr>
        <w:t xml:space="preserve">Nivel de seguridad:</w:t>
      </w:r>
      <w:r>
        <w:rPr>
          <w:rFonts w:ascii="Arial" w:cs="Arial" w:eastAsia="Arial" w:hAnsi="Arial"/>
        </w:rPr>
        <w:t xml:space="preserve"> razonable. </w:t>
      </w:r>
      <w:r>
        <w:rPr>
          <w:rFonts w:ascii="Arial" w:cs="Arial" w:eastAsia="Arial" w:hAnsi="Arial"/>
          <w:b/>
          <w:bCs/>
        </w:rPr>
        <w:t xml:space="preserve">Materia:</w:t>
      </w:r>
      <w:r>
        <w:rPr>
          <w:rFonts w:ascii="Arial" w:cs="Arial" w:eastAsia="Arial" w:hAnsi="Arial"/>
        </w:rPr>
        <w:t xml:space="preserve"> cumplimiento de estatutos, decisiones de la asamblea o junta y normas fijadas. </w:t>
      </w:r>
      <w:r>
        <w:rPr>
          <w:rFonts w:ascii="Arial" w:cs="Arial" w:eastAsia="Arial" w:hAnsi="Arial"/>
          <w:b/>
          <w:bCs/>
        </w:rPr>
        <w:t xml:space="preserve">Criterios:</w:t>
      </w:r>
      <w:r>
        <w:rPr>
          <w:rFonts w:ascii="Arial" w:cs="Arial" w:eastAsia="Arial" w:hAnsi="Arial"/>
        </w:rPr>
        <w:t xml:space="preserve"> PT-CUMP-03.</w:t>
      </w: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PT-CUMP-01  ·  Aceptación del encargo y condiciones previas</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Aceptación del encargo y condiciones previas — PT-CUMP-01</dc:title>
  <dc:creator>Assuran</dc:creator>
  <dc:description>Verificación de las condiciones previas de la ISAE 3000 antes de aceptar el encargo de aseguramiento sobre cumplimiento</dc:description>
  <cp:lastModifiedBy>Un-named</cp:lastModifiedBy>
  <cp:revision>1</cp:revision>
  <dcterms:created xsi:type="dcterms:W3CDTF">2026-11-03T03:54:56.369Z</dcterms:created>
  <dcterms:modified xsi:type="dcterms:W3CDTF">2026-11-03T03:54:56.369Z</dcterms:modified>
</cp:coreProperties>
</file>

<file path=docProps/custom.xml><?xml version="1.0" encoding="utf-8"?>
<Properties xmlns="http://schemas.openxmlformats.org/officeDocument/2006/custom-properties" xmlns:vt="http://schemas.openxmlformats.org/officeDocument/2006/docPropsVTypes"/>
</file>