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PT-CUMP-00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Guía de auditoría de cumplimiento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Encargo de aseguramiento razonable sobre el cumplimiento de estatutos, decisiones de la asamblea o junta y normas aplicables, por el revisor fiscal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1. Para qué sirve esta guía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Esta guía orienta el encargo en el que el revisor fiscal da su concepto sobre si los actos de los administradores se ajustan a los estatutos y a las órdenes o instrucciones de la asamblea o junta de socios, y sobre si la correspondencia, los comprobantes de las cuentas y los libros de actas y de registro de acciones se llevan y conservan debidamente (Código de Comercio, art. 209, numerales 1 y 2). Los papeles PT-CUMP-01 a PT-CUMP-27 cubren el trabajo completo, de la aceptación al informe.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 un encargo de aseguramiento regido por la ISAE 3000. Se hace en el mismo periodo y con el mismo equipo que la auditoría de estados financieros (PT-EEFF-00) y la de control interno (PT-CI-00), y se aprovecha su evidencia cuando sirve para varios.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2. Marco normativo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Decreto 302 de 2015, art. 4.</w:t>
      </w:r>
      <w:r>
        <w:rPr>
          <w:rFonts w:ascii="Arial" w:cs="Arial" w:eastAsia="Arial" w:hAnsi="Arial"/>
        </w:rPr>
        <w:t xml:space="preserve"> El revisor fiscal aplica las ISAE en las responsabilidades del art. 209 del Código de Comercio: evaluar el cumplimiento de las disposiciones estatutarias y de las decisiones de la asamblea o junta de socios, y evaluar el control interno.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Decreto 302 de 2015, art. 5.</w:t>
      </w:r>
      <w:r>
        <w:rPr>
          <w:rFonts w:ascii="Arial" w:cs="Arial" w:eastAsia="Arial" w:hAnsi="Arial"/>
        </w:rPr>
        <w:t xml:space="preserve"> No hay que preparar informes separados, pero sí expresar una opinión o concepto sobre cada tema. El informe de este encargo (PT-CUMP-22 a 26) puede ir como una sección del informe del revisor fiscal.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Código de Comercio, art. 207.</w:t>
      </w:r>
      <w:r>
        <w:rPr>
          <w:rFonts w:ascii="Arial" w:cs="Arial" w:eastAsia="Arial" w:hAnsi="Arial"/>
        </w:rPr>
        <w:t xml:space="preserve"> Numeral 1 (cerciorarse de que las operaciones se ajustan a estatutos, asamblea y junta directiva), numeral 2 (dar cuenta oportuna y por escrito de las irregularidades), numeral 3 (colaborar con las entidades de inspección y vigilancia), numeral 4 (velar por la contabilidad, las actas, la correspondencia y los comprobantes), numeral 8 (convocar a reuniones extraordinarias) y numeral 10 (reportar operaciones sospechosas a la UIAF).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Código de Comercio, art. 209.</w:t>
      </w:r>
      <w:r>
        <w:rPr>
          <w:rFonts w:ascii="Arial" w:cs="Arial" w:eastAsia="Arial" w:hAnsi="Arial"/>
        </w:rPr>
        <w:t xml:space="preserve"> Numeral 1 (los actos de los administradores se ajustan a estatutos y a las órdenes de la asamblea o junta) y numeral 2 (correspondencia, comprobantes y libros de actas y de registro de acciones). El numeral 3, sobre control interno, se trata en el PT-CI.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Código de Comercio, arts. 211, 213 y 214.</w:t>
      </w:r>
      <w:r>
        <w:rPr>
          <w:rFonts w:ascii="Arial" w:cs="Arial" w:eastAsia="Arial" w:hAnsi="Arial"/>
        </w:rPr>
        <w:t xml:space="preserve"> Responsabilidad por negligencia o dolo, derecho de intervenir y de inspeccionar, y reserva sobre los hechos que conozca.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  <w:b/>
          <w:bCs/>
        </w:rPr>
        <w:t xml:space="preserve">ISAE 3000 (NIEA 3000, revisada).</w:t>
      </w:r>
      <w:r>
        <w:rPr>
          <w:rFonts w:ascii="Arial" w:cs="Arial" w:eastAsia="Arial" w:hAnsi="Arial"/>
        </w:rPr>
        <w:t xml:space="preserve"> Norma marco, abierta: dice cómo planear, ejecutar y reportar cualquier encargo de aseguramiento, no qué auditar. Estos papeles la configuran para el cumplimiento en una entidad privada.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Criterios (ISAE 3000, párr. 24 b).</w:t>
      </w:r>
      <w:r>
        <w:rPr>
          <w:rFonts w:ascii="Arial" w:cs="Arial" w:eastAsia="Arial" w:hAnsi="Arial"/>
        </w:rPr>
        <w:t xml:space="preserve"> Son las disposiciones que la entidad debe cumplir: sus estatutos, las decisiones de sus órganos y las normas legales que fije el PT-CUMP-03.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3. Qué se concluye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El encargo es de </w:t>
      </w:r>
      <w:r>
        <w:rPr>
          <w:rFonts w:ascii="Arial" w:cs="Arial" w:eastAsia="Arial" w:hAnsi="Arial"/>
          <w:b/>
          <w:bCs/>
        </w:rPr>
        <w:t xml:space="preserve">seguridad razonable</w:t>
      </w:r>
      <w:r>
        <w:rPr>
          <w:rFonts w:ascii="Arial" w:cs="Arial" w:eastAsia="Arial" w:hAnsi="Arial"/>
        </w:rPr>
        <w:t xml:space="preserve"> (ISAE 3000, párr. 12 y 46R a 49R). El revisor fiscal concluye, sobre el periodo, en tres asuntos:</w:t>
      </w:r>
    </w:p>
    <w:p>
      <w:pPr>
        <w:pStyle w:val="ListParagraph"/>
        <w:numPr>
          <w:ilvl w:val="0"/>
          <w:numId w:val="3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Los </w:t>
      </w:r>
      <w:r>
        <w:rPr>
          <w:rFonts w:ascii="Arial" w:cs="Arial" w:eastAsia="Arial" w:hAnsi="Arial"/>
          <w:b/>
          <w:bCs/>
        </w:rPr>
        <w:t xml:space="preserve">actos de los administradores</w:t>
      </w:r>
      <w:r>
        <w:rPr>
          <w:rFonts w:ascii="Arial" w:cs="Arial" w:eastAsia="Arial" w:hAnsi="Arial"/>
        </w:rPr>
        <w:t xml:space="preserve"> se ajustan a los estatutos y a las órdenes o instrucciones de la asamblea o junta de socios (PT-CUMP-10 a 12).</w:t>
      </w:r>
    </w:p>
    <w:p>
      <w:pPr>
        <w:pStyle w:val="ListParagraph"/>
        <w:numPr>
          <w:ilvl w:val="0"/>
          <w:numId w:val="3"/>
        </w:numPr>
        <w:spacing w:after="70" w:line="260"/>
        <w:jc w:val="both"/>
      </w:pPr>
      <w:r>
        <w:rPr>
          <w:rFonts w:ascii="Arial" w:cs="Arial" w:eastAsia="Arial" w:hAnsi="Arial"/>
        </w:rPr>
        <w:t xml:space="preserve">La </w:t>
      </w:r>
      <w:r>
        <w:rPr>
          <w:rFonts w:ascii="Arial" w:cs="Arial" w:eastAsia="Arial" w:hAnsi="Arial"/>
          <w:b/>
          <w:bCs/>
        </w:rPr>
        <w:t xml:space="preserve">correspondencia, los comprobantes de las cuentas y los libros de actas y de registro de acciones</w:t>
      </w:r>
      <w:r>
        <w:rPr>
          <w:rFonts w:ascii="Arial" w:cs="Arial" w:eastAsia="Arial" w:hAnsi="Arial"/>
        </w:rPr>
        <w:t xml:space="preserve"> se llevan y se conservan debidamente (PT-CUMP-13 y 14).</w:t>
      </w:r>
    </w:p>
    <w:p>
      <w:pPr>
        <w:pStyle w:val="ListParagraph"/>
        <w:numPr>
          <w:ilvl w:val="0"/>
          <w:numId w:val="3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La entidad cumple, en todos los aspectos materiales, las </w:t>
      </w:r>
      <w:r>
        <w:rPr>
          <w:rFonts w:ascii="Arial" w:cs="Arial" w:eastAsia="Arial" w:hAnsi="Arial"/>
          <w:b/>
          <w:bCs/>
        </w:rPr>
        <w:t xml:space="preserve">demás normas</w:t>
      </w:r>
      <w:r>
        <w:rPr>
          <w:rFonts w:ascii="Arial" w:cs="Arial" w:eastAsia="Arial" w:hAnsi="Arial"/>
        </w:rPr>
        <w:t xml:space="preserve"> que el PT-CUMP-03 definió como criterio, incluido el reporte de operaciones sospechosas (PT-CUMP-15 y 16).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La conclusión es una de cuatro: sin salvedades, con salvedades, adversa o denegación (ISAE 3000, párr. 72 a 77). Se determina en el PT-CUMP-21 y se redacta con los modelos PT-CUMP-23 a 26.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4. Cumplimiento en una pyme y con revisor independiente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El primer insumo es el estatuto, que en una pyme suele ser corto. Léalo entero y haga la lista de lo que exige: facultades y límites del representante legal, quórum, mayorías, plazos y convocatorias.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No pretende auditar todo el ordenamiento jurídico. El alcance son los estatutos, las decisiones de los órganos y las normas que el PT-CUMP-03 marque como relevantes para esa entidad. El resto, fuera de alcance, se dice en el informe.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Si la administración y la propiedad son las mismas personas, el riesgo de que los actos no se ajusten a los estatutos es mayor, porque las decisiones se toman sin formalidades. Evalúe si hay actas y autorizaciones, aunque sean sencillas.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Las muestras son pequeñas porque las poblaciones lo son. Pruebe por riesgo, no por rutina.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5. Mapa de los papeles</w:t>
      </w:r>
    </w:p>
    <w:p>
      <w:pPr>
        <w:keepNext/>
        <w:spacing w:after="80" w:line="264"/>
        <w:jc w:val="both"/>
      </w:pPr>
      <w:r>
        <w:rPr>
          <w:rFonts w:ascii="Arial" w:cs="Arial" w:eastAsia="Arial" w:hAnsi="Arial"/>
        </w:rPr>
        <w:t xml:space="preserve">La tercera columna indica el formato: los papeles de matrices y pruebas están en Excel, con fórmulas y listas desplegables; los de texto, en Word.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900"/>
        <w:gridCol w:w="900"/>
        <w:gridCol w:w="3160"/>
      </w:tblGrid>
      <w:tr>
        <w:trPr>
          <w:cantSplit/>
          <w:tblHeader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Papel de trabajo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Formato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ISAE 3000 / norma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PT-CUMP-01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Aceptación del encargo y condiciones previas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21 a 26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PT-CUMP-02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Carta de encargo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27 a 30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PT-CUMP-03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Matriz de criterios, estatutos, decisiones y normas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Excel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24 b, 41, 63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PT-CUMP-04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Conocimiento de la entidad y de su marco legal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45 a 47R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PT-CUMP-05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Importancia relativa del encargo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Excel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44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PT-CUMP-06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Valoración de riesgos de incumplimiento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Excel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46R, 47R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PT-CUMP-07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Fraude, actos ilegales y conflictos de interés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45, 47R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PT-CUMP-08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Programa del encargo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Excel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40, 48R, 49R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PT-CUMP-09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Cronograma de actividades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Excel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40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PT-CUMP-10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Verificación del cumplimiento de los estatutos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Excel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CCo 207-1, 209-1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PT-CUMP-11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Seguimiento a las decisiones de la asamblea y de la junta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Excel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CCo 207-1, 209-1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PT-CUMP-12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Actos de los administradores frente a sus facultades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Excel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CCo 209-1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PT-CUMP-13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Libros de actas y de registro de acciones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CCo 207-4, 209-2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PT-CUMP-14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Correspondencia y comprobantes de las cuentas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Excel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CCo 207-4, 209-2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PT-CUMP-15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Cumplimiento de otras normas aplicables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Excel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49R, 50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PT-CUMP-16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Operaciones sospechosas y reporte a la UIAF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CCo 207-10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PT-CUMP-17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Evaluación de incumplimientos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Excel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51, 64, 65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PT-CUMP-18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Hechos posteriores y otra información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61, 62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PT-CUMP-19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Manifestaciones escritas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56 a 60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PT-CUMP-20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Comunicación de irregularidades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78; CCo 207-2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PT-CUMP-21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Resumen de incumplimientos y determinación de la conclusión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Excel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64 a 66, 72 a 77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PT-CUMP-22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Guía del informe de aseguramiento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67 a 71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PT-CUMP-23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Informe sin salvedades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72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PT-CUMP-24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Informe con salvedades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74, 75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PT-CUMP-25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Informe con conclusión adversa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74, 75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PT-CUMP-26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Informe con denegación de conclusión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74 a 76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PT-CUMP-27</w:t>
            </w:r>
          </w:p>
        </w:tc>
        <w:tc>
          <w:tcPr>
            <w:tcW w:type="dxa" w:w="3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Lista de chequeo de calidad y cierre</w:t>
            </w:r>
          </w:p>
        </w:tc>
        <w:tc>
          <w:tcPr>
            <w:tcW w:type="dxa" w:w="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Word</w:t>
            </w:r>
          </w:p>
        </w:tc>
        <w:tc>
          <w:tcPr>
            <w:tcW w:type="dxa" w:w="3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Párr. 31 a 36, 79 a 83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6. Paso a paso</w:t>
      </w:r>
    </w:p>
    <w:p>
      <w:pPr>
        <w:pStyle w:val="ListParagraph"/>
        <w:numPr>
          <w:ilvl w:val="0"/>
          <w:numId w:val="4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Aceptar y pactar.</w:t>
      </w:r>
      <w:r>
        <w:rPr>
          <w:rFonts w:ascii="Arial" w:cs="Arial" w:eastAsia="Arial" w:hAnsi="Arial"/>
        </w:rPr>
        <w:t xml:space="preserve"> Complete el PT-CUMP-01 y la carta (PT-CUMP-02), o incorpore el encargo a la carta de la revisoría fiscal.</w:t>
      </w:r>
    </w:p>
    <w:p>
      <w:pPr>
        <w:pStyle w:val="ListParagraph"/>
        <w:numPr>
          <w:ilvl w:val="0"/>
          <w:numId w:val="4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Fijar los criterios.</w:t>
      </w:r>
      <w:r>
        <w:rPr>
          <w:rFonts w:ascii="Arial" w:cs="Arial" w:eastAsia="Arial" w:hAnsi="Arial"/>
        </w:rPr>
        <w:t xml:space="preserve"> Con el PT-CUMP-03 liste los estatutos, las decisiones y las normas que se van a verificar. Esto define el alcance.</w:t>
      </w:r>
    </w:p>
    <w:p>
      <w:pPr>
        <w:pStyle w:val="ListParagraph"/>
        <w:numPr>
          <w:ilvl w:val="0"/>
          <w:numId w:val="4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Entender y valorar riesgos.</w:t>
      </w:r>
      <w:r>
        <w:rPr>
          <w:rFonts w:ascii="Arial" w:cs="Arial" w:eastAsia="Arial" w:hAnsi="Arial"/>
        </w:rPr>
        <w:t xml:space="preserve"> Conozca la entidad y su marco legal (PT-CUMP-04), fije los umbrales (PT-CUMP-05) y valore los riesgos con probabilidad por impacto (PT-CUMP-06 y 07).</w:t>
      </w:r>
    </w:p>
    <w:p>
      <w:pPr>
        <w:pStyle w:val="ListParagraph"/>
        <w:numPr>
          <w:ilvl w:val="0"/>
          <w:numId w:val="4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Planear.</w:t>
      </w:r>
      <w:r>
        <w:rPr>
          <w:rFonts w:ascii="Arial" w:cs="Arial" w:eastAsia="Arial" w:hAnsi="Arial"/>
        </w:rPr>
        <w:t xml:space="preserve"> El programa (PT-CUMP-08) y el cronograma (PT-CUMP-09) responden a los riesgos rojos y amarillos.</w:t>
      </w:r>
    </w:p>
    <w:p>
      <w:pPr>
        <w:pStyle w:val="ListParagraph"/>
        <w:numPr>
          <w:ilvl w:val="0"/>
          <w:numId w:val="4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Ejecutar.</w:t>
      </w:r>
      <w:r>
        <w:rPr>
          <w:rFonts w:ascii="Arial" w:cs="Arial" w:eastAsia="Arial" w:hAnsi="Arial"/>
        </w:rPr>
        <w:t xml:space="preserve"> Verifique estatutos, decisiones y actos (PT-CUMP-10 a 12), libros y comprobantes (PT-CUMP-13 y 14) y otras normas (PT-CUMP-15 y 16).</w:t>
      </w:r>
    </w:p>
    <w:p>
      <w:pPr>
        <w:pStyle w:val="ListParagraph"/>
        <w:numPr>
          <w:ilvl w:val="0"/>
          <w:numId w:val="4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Evaluar.</w:t>
      </w:r>
      <w:r>
        <w:rPr>
          <w:rFonts w:ascii="Arial" w:cs="Arial" w:eastAsia="Arial" w:hAnsi="Arial"/>
        </w:rPr>
        <w:t xml:space="preserve"> Clasifique cada incumplimiento (PT-CUMP-17) y comuníquelo a tiempo (PT-CUMP-20).</w:t>
      </w:r>
    </w:p>
    <w:p>
      <w:pPr>
        <w:pStyle w:val="ListParagraph"/>
        <w:numPr>
          <w:ilvl w:val="0"/>
          <w:numId w:val="4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Concluir.</w:t>
      </w:r>
      <w:r>
        <w:rPr>
          <w:rFonts w:ascii="Arial" w:cs="Arial" w:eastAsia="Arial" w:hAnsi="Arial"/>
        </w:rPr>
        <w:t xml:space="preserve"> Resuma en el PT-CUMP-21, obtenga las manifestaciones (PT-CUMP-19), revise los hechos posteriores (PT-CUMP-18) y emita el informe (PT-CUMP-22 a 26).</w:t>
      </w:r>
    </w:p>
    <w:p>
      <w:pPr>
        <w:pStyle w:val="ListParagraph"/>
        <w:numPr>
          <w:ilvl w:val="0"/>
          <w:numId w:val="4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Cerrar.</w:t>
      </w:r>
      <w:r>
        <w:rPr>
          <w:rFonts w:ascii="Arial" w:cs="Arial" w:eastAsia="Arial" w:hAnsi="Arial"/>
        </w:rPr>
        <w:t xml:space="preserve"> Complete el PT-CUMP-27 y cierre el archivo en los 60 días siguientes al informe (párr. 81).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7. Reglas que valen para todos los papeles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Los textos amarillos entre corchetes son instrucciones o campos para llenar. Bórrelos al diligenciar.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Todo riesgo se valora con probabilidad y con impacto, de 1 a 3. La multiplicación da el nivel: de 1 a 2 verde, de 3 a 4 amarillo y de 6 a 9 rojo.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Para persona natural, lea “la Firma” como “yo” y elimine lo que refiera a equipo. Para persona jurídica, úselo como está.</w:t>
      </w:r>
    </w:p>
    <w:p>
      <w:pPr>
        <w:pStyle w:val="ListParagraph"/>
        <w:numPr>
          <w:ilvl w:val="0"/>
          <w:numId w:val="2"/>
        </w:numPr>
        <w:spacing w:after="60" w:line="260"/>
        <w:jc w:val="both"/>
      </w:pPr>
      <w:r>
        <w:rPr>
          <w:rFonts w:ascii="Arial" w:cs="Arial" w:eastAsia="Arial" w:hAnsi="Arial"/>
        </w:rPr>
        <w:t xml:space="preserve">La independencia y la confidencialidad están en el PT-CALIDAD-05 y el PT-CALIDAD-04. La información es reservada (Código de Comercio, art. 214).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Las normas que cite como criterio, distintas de las que aparecen en la ley y los estatutos, deben ser verificadas en su versión vigente antes de usarlas.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8. Limitaciones inherentes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El encargo se hace por muestras y no examina el cien por ciento de los actos ni de las normas. Además, un incumplimiento puede ocultarse por colusión o por falsificación de documentos. El informe lo dice expresamente (PT-CUMP-22).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PT-CUMP-00  ·  Guía de auditoría de cumplimiento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auditoría de cumplimiento — PT-CUMP-00</dc:title>
  <dc:creator>Assuran</dc:creator>
  <dc:description>Cómo usar los papeles del encargo de aseguramiento sobre el cumplimiento de estatutos, decisiones de la asamblea y normas, por el revisor fiscal (ISAE 3000, Decreto 302 de 2015, arts. 207 y 209 del Código de Comercio)</dc:description>
  <cp:lastModifiedBy>Un-named</cp:lastModifiedBy>
  <cp:revision>1</cp:revision>
  <dcterms:created xsi:type="dcterms:W3CDTF">2026-11-03T03:55:06.234Z</dcterms:created>
  <dcterms:modified xsi:type="dcterms:W3CDTF">2026-11-03T03:55:06.235Z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