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PT-CI-26</w:t>
      </w:r>
    </w:p>
    <w:p>
      <w:pPr>
        <w:spacing w:after="60"/>
      </w:pPr>
      <w:r>
        <w:rPr>
          <w:rFonts w:ascii="Arial" w:cs="Arial" w:eastAsia="Arial" w:hAnsi="Arial"/>
          <w:b/>
          <w:bCs/>
          <w:color w:val="1F2D3D"/>
          <w:sz w:val="52"/>
          <w:szCs w:val="52"/>
        </w:rPr>
        <w:t xml:space="preserve">Informe con conclusión adversa</w:t>
      </w:r>
    </w:p>
    <w:p>
      <w:pPr>
        <w:spacing w:after="160"/>
      </w:pPr>
      <w:r>
        <w:rPr>
          <w:rFonts w:ascii="Arial" w:cs="Arial" w:eastAsia="Arial" w:hAnsi="Arial"/>
          <w:color w:val="2872FA"/>
          <w:sz w:val="24"/>
          <w:szCs w:val="24"/>
        </w:rPr>
        <w:t xml:space="preserve">Modelo de informe con conclusión adversa: el control interno no es adecuado (ISAE 3000, párr. 74 y 75)</w:t>
      </w:r>
    </w:p>
    <w:p>
      <w:pPr>
        <w:spacing w:after="140" w:line="264"/>
        <w:jc w:val="both"/>
      </w:pPr>
      <w:r>
        <w:rPr>
          <w:rFonts w:ascii="Arial" w:cs="Arial" w:eastAsia="Arial" w:hAnsi="Arial"/>
          <w:color w:val="8A6A00"/>
          <w:shd w:fill="FFF4CC" w:color="auto" w:val="clear"/>
        </w:rPr>
        <w:t xml:space="preserve">[Use este modelo cuando las deficiencias, solas o en conjunto, son materiales y generalizadas. Describa cada debilidad material con su efecto. Es el tipo de conclusión más grave: asegúrese de que el responsable del encargo la aprobó, de que se discutió con la administración y de que se comunicó por escrito (PT-CI-21). Persona natural: primera persona del singular.]</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Hay dos o más debilidades materiales, o una que afecta tres o más componentes, o cuatro o más deficiencias significativas.</w:t>
      </w:r>
    </w:p>
    <w:p>
      <w:pPr>
        <w:pStyle w:val="ListParagraph"/>
        <w:numPr>
          <w:ilvl w:val="0"/>
          <w:numId w:val="2"/>
        </w:numPr>
        <w:spacing w:after="60" w:line="260"/>
        <w:jc w:val="both"/>
      </w:pPr>
      <w:r>
        <w:rPr>
          <w:rFonts w:ascii="Arial" w:cs="Arial" w:eastAsia="Arial" w:hAnsi="Arial"/>
        </w:rPr>
        <w:t xml:space="preserve">El efecto es generalizado: el control interno no es adecuado en un aspecto fundamental.</w:t>
      </w:r>
    </w:p>
    <w:p>
      <w:pPr>
        <w:pStyle w:val="ListParagraph"/>
        <w:numPr>
          <w:ilvl w:val="0"/>
          <w:numId w:val="2"/>
        </w:numPr>
        <w:spacing w:after="140" w:line="260"/>
        <w:jc w:val="both"/>
      </w:pPr>
      <w:r>
        <w:rPr>
          <w:rFonts w:ascii="Arial" w:cs="Arial" w:eastAsia="Arial" w:hAnsi="Arial"/>
        </w:rPr>
        <w:t xml:space="preserve">Si además hay limitaciones, prevalece la conclusión adversa (PT-CI-22).</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 ASEGURAMIENTO RAZONABLE INDEPENDIENTE SOBRE EL CONTROL INTERNO Y LA CUSTODIA DE BIENES</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Objeto del encargo</w:t>
      </w:r>
    </w:p>
    <w:p>
      <w:pPr>
        <w:spacing w:after="100" w:line="264"/>
        <w:jc w:val="both"/>
      </w:pPr>
      <w:r>
        <w:rPr>
          <w:rFonts w:ascii="Arial" w:cs="Arial" w:eastAsia="Arial" w:hAnsi="Arial"/>
        </w:rPr>
        <w:t xml:space="preserve">He (hemos) realizado un encargo de aseguramiento razonable para dar mi (nuestro) concepto sobre si hay y son adecuadas las medidas de control interno y de conservación y custodia de los bienes de la sociedad y de terceros que estén en poder de </w:t>
      </w:r>
      <w:r>
        <w:rPr>
          <w:rFonts w:ascii="Arial" w:cs="Arial" w:eastAsia="Arial" w:hAnsi="Arial"/>
          <w:color w:val="8A6A00"/>
          <w:shd w:fill="FFF4CC" w:color="auto" w:val="clear"/>
        </w:rPr>
        <w:t xml:space="preserve">[Entidad]</w:t>
      </w:r>
      <w:r>
        <w:rPr>
          <w:rFonts w:ascii="Arial" w:cs="Arial" w:eastAsia="Arial" w:hAnsi="Arial"/>
        </w:rPr>
        <w:t xml:space="preserve">, al </w:t>
      </w:r>
      <w:r>
        <w:rPr>
          <w:rFonts w:ascii="Arial" w:cs="Arial" w:eastAsia="Arial" w:hAnsi="Arial"/>
          <w:color w:val="8A6A00"/>
          <w:shd w:fill="FFF4CC" w:color="auto" w:val="clear"/>
        </w:rPr>
        <w:t xml:space="preserve">[31 de diciembre de 20XX]</w:t>
      </w:r>
      <w:r>
        <w:rPr>
          <w:rFonts w:ascii="Arial" w:cs="Arial" w:eastAsia="Arial" w:hAnsi="Arial"/>
        </w:rPr>
        <w:t xml:space="preserve"> y durante el año terminado en esa fecha, de acuerdo con el numeral 3 del artículo 209 del Código de Comercio, con base en el marco integrado de control interno COSO 2013, aplicado a los componentes y principios descritos en </w:t>
      </w:r>
      <w:r>
        <w:rPr>
          <w:rFonts w:ascii="Arial" w:cs="Arial" w:eastAsia="Arial" w:hAnsi="Arial"/>
          <w:color w:val="8A6A00"/>
          <w:shd w:fill="FFF4CC" w:color="auto" w:val="clear"/>
        </w:rPr>
        <w:t xml:space="preserve">[nota o anexo]</w:t>
      </w:r>
      <w:r>
        <w:rPr>
          <w:rFonts w:ascii="Arial" w:cs="Arial" w:eastAsia="Arial" w:hAnsi="Arial"/>
        </w:rPr>
        <w:t xml:space="preserve">, y los criterios de conservación y custodia de bienes definidos por </w:t>
      </w:r>
      <w:r>
        <w:rPr>
          <w:rFonts w:ascii="Arial" w:cs="Arial" w:eastAsia="Arial" w:hAnsi="Arial"/>
          <w:color w:val="8A6A00"/>
          <w:shd w:fill="FFF4CC" w:color="auto" w:val="clear"/>
        </w:rPr>
        <w:t xml:space="preserve">[la Firma, descritos en el anexo]</w:t>
      </w:r>
      <w:r>
        <w:rPr>
          <w:rFonts w:ascii="Arial" w:cs="Arial" w:eastAsia="Arial" w:hAnsi="Arial"/>
        </w:rPr>
        <w:t xml:space="preserve">.</w:t>
      </w:r>
    </w:p>
    <w:p>
      <w:pPr>
        <w:keepNext/>
        <w:spacing w:after="60" w:line="264"/>
        <w:jc w:val="both"/>
      </w:pPr>
      <w:r>
        <w:rPr>
          <w:rFonts w:ascii="Arial" w:cs="Arial" w:eastAsia="Arial" w:hAnsi="Arial"/>
          <w:b/>
          <w:bCs/>
        </w:rPr>
        <w:t xml:space="preserve">Conclusión adversa</w:t>
      </w:r>
    </w:p>
    <w:p>
      <w:pPr>
        <w:spacing w:after="100" w:line="264"/>
        <w:jc w:val="both"/>
      </w:pPr>
      <w:r>
        <w:rPr>
          <w:rFonts w:ascii="Arial" w:cs="Arial" w:eastAsia="Arial" w:hAnsi="Arial"/>
        </w:rPr>
        <w:t xml:space="preserve">En mi (nuestra) opinión, debido a la importancia de los asuntos descritos en la sección “Fundamento de la conclusión adversa”, no hay o no son adecuadas las medidas de control interno y de conservación y custodia de los bienes de la sociedad y de terceros que estén en poder de </w:t>
      </w:r>
      <w:r>
        <w:rPr>
          <w:rFonts w:ascii="Arial" w:cs="Arial" w:eastAsia="Arial" w:hAnsi="Arial"/>
          <w:color w:val="8A6A00"/>
          <w:shd w:fill="FFF4CC" w:color="auto" w:val="clear"/>
        </w:rPr>
        <w:t xml:space="preserve">[Entidad]</w:t>
      </w:r>
      <w:r>
        <w:rPr>
          <w:rFonts w:ascii="Arial" w:cs="Arial" w:eastAsia="Arial" w:hAnsi="Arial"/>
        </w:rPr>
        <w:t xml:space="preserve">, al </w:t>
      </w:r>
      <w:r>
        <w:rPr>
          <w:rFonts w:ascii="Arial" w:cs="Arial" w:eastAsia="Arial" w:hAnsi="Arial"/>
          <w:color w:val="8A6A00"/>
          <w:shd w:fill="FFF4CC" w:color="auto" w:val="clear"/>
        </w:rPr>
        <w:t xml:space="preserve">[31 de diciembre de 20XX]</w:t>
      </w:r>
      <w:r>
        <w:rPr>
          <w:rFonts w:ascii="Arial" w:cs="Arial" w:eastAsia="Arial" w:hAnsi="Arial"/>
        </w:rPr>
        <w:t xml:space="preserve"> y durante el año terminado en esa fecha, con base en el marco integrado de control interno COSO 2013, aplicado a los componentes y principios descritos en </w:t>
      </w:r>
      <w:r>
        <w:rPr>
          <w:rFonts w:ascii="Arial" w:cs="Arial" w:eastAsia="Arial" w:hAnsi="Arial"/>
          <w:color w:val="8A6A00"/>
          <w:shd w:fill="FFF4CC" w:color="auto" w:val="clear"/>
        </w:rPr>
        <w:t xml:space="preserve">[nota o anexo]</w:t>
      </w:r>
      <w:r>
        <w:rPr>
          <w:rFonts w:ascii="Arial" w:cs="Arial" w:eastAsia="Arial" w:hAnsi="Arial"/>
        </w:rPr>
        <w:t xml:space="preserve">, y los criterios de conservación y custodia de bienes definidos por </w:t>
      </w:r>
      <w:r>
        <w:rPr>
          <w:rFonts w:ascii="Arial" w:cs="Arial" w:eastAsia="Arial" w:hAnsi="Arial"/>
          <w:color w:val="8A6A00"/>
          <w:shd w:fill="FFF4CC" w:color="auto" w:val="clear"/>
        </w:rPr>
        <w:t xml:space="preserve">[la Firma, descritos en el anexo]</w:t>
      </w:r>
      <w:r>
        <w:rPr>
          <w:rFonts w:ascii="Arial" w:cs="Arial" w:eastAsia="Arial" w:hAnsi="Arial"/>
        </w:rPr>
        <w:t xml:space="preserve">.</w:t>
      </w:r>
    </w:p>
    <w:p>
      <w:pPr>
        <w:keepNext/>
        <w:spacing w:after="60" w:line="264"/>
        <w:jc w:val="both"/>
      </w:pPr>
      <w:r>
        <w:rPr>
          <w:rFonts w:ascii="Arial" w:cs="Arial" w:eastAsia="Arial" w:hAnsi="Arial"/>
          <w:b/>
          <w:bCs/>
        </w:rPr>
        <w:t xml:space="preserve">Fundamento de la conclusión adversa</w:t>
      </w:r>
    </w:p>
    <w:p>
      <w:pPr>
        <w:spacing w:after="80" w:line="264"/>
        <w:jc w:val="both"/>
      </w:pPr>
      <w:r>
        <w:rPr>
          <w:rFonts w:ascii="Arial" w:cs="Arial" w:eastAsia="Arial" w:hAnsi="Arial"/>
          <w:color w:val="8A6A00"/>
          <w:shd w:fill="FFF4CC" w:color="auto" w:val="clear"/>
        </w:rPr>
        <w:t xml:space="preserve">[Describa cada debilidad material: qué ocurre, a qué componente o criterio afecta, su efecto o riesgo y por qué es generalizada.]</w:t>
      </w:r>
      <w:r>
        <w:rPr>
          <w:rFonts w:ascii="Arial" w:cs="Arial" w:eastAsia="Arial" w:hAnsi="Arial"/>
        </w:rPr>
        <w:t xml:space="preserve"> Ejemplo: 1. La entidad no tiene separadas las funciones de custodia, autorización y registro del efectivo y de los inventarios, ni controles compensatorios de la gerencia. 2. No se hacen arqueos ni conciliaciones de inventarios ni de caja. 3. Las claves de acceso al sistema son compartidas y no es posible identificar a los usuarios. Estos asuntos, en conjunto, afectan los componentes de ambiente de control, actividades de control y supervisión.</w:t>
      </w:r>
    </w:p>
    <w:p>
      <w:pPr>
        <w:spacing w:after="100" w:line="264"/>
        <w:jc w:val="both"/>
      </w:pPr>
      <w:r>
        <w:rPr>
          <w:rFonts w:ascii="Arial" w:cs="Arial" w:eastAsia="Arial" w:hAnsi="Arial"/>
        </w:rPr>
        <w:t xml:space="preserve">Efectué (efectuamos) mi (nuestro) encargo de aseguramiento razonable de conformidad con la Norma Internacional de Encargos de Aseguramiento 3000 (ISAE 3000, revisada), Encargos de aseguramiento distintos de la auditoría o de la revisión de información financiera histórica, aceptada en Colombia por el Decreto 302 de 2015. Soy (somos) independiente(s) de la Entidad de acuerdo con los requerimientos de ética aplicables en Colombia, incluidos los de la Ley 43 de 1990 y el Código de Ética para Profesionales de la Contaduría, y he (hemos) cumplido las demás responsabilidades éticas de conformidad con esos requerimientos. La Firma aplica la Norma Internacional de Control de Calidad 1 (NICC 1). Considero (consideramos) que la evidencia que he (hemos) obtenido proporciona una base suficiente y adecuada para fundamentar mi (nuestra) conclusión adversa.</w:t>
      </w:r>
    </w:p>
    <w:p>
      <w:pPr>
        <w:keepNext/>
        <w:spacing w:after="60" w:line="264"/>
        <w:jc w:val="both"/>
      </w:pPr>
      <w:r>
        <w:rPr>
          <w:rFonts w:ascii="Arial" w:cs="Arial" w:eastAsia="Arial" w:hAnsi="Arial"/>
          <w:b/>
          <w:bCs/>
        </w:rPr>
        <w:t xml:space="preserve">Responsabilidad de la administración</w:t>
      </w:r>
    </w:p>
    <w:p>
      <w:pPr>
        <w:spacing w:after="100" w:line="264"/>
        <w:jc w:val="both"/>
      </w:pPr>
      <w:r>
        <w:rPr>
          <w:rFonts w:ascii="Arial" w:cs="Arial" w:eastAsia="Arial" w:hAnsi="Arial"/>
        </w:rPr>
        <w:t xml:space="preserve">La administración es responsable de diseñar, implementar y mantener un control interno adecuado y las medidas de conservación y custodia de los bienes, y de evaluar su eficacia con base en los criterios indicados.</w:t>
      </w:r>
    </w:p>
    <w:p>
      <w:pPr>
        <w:keepNext/>
        <w:spacing w:after="60" w:line="264"/>
        <w:jc w:val="both"/>
      </w:pPr>
      <w:r>
        <w:rPr>
          <w:rFonts w:ascii="Arial" w:cs="Arial" w:eastAsia="Arial" w:hAnsi="Arial"/>
          <w:b/>
          <w:bCs/>
        </w:rPr>
        <w:t xml:space="preserve">Responsabilidad del revisor fiscal</w:t>
      </w:r>
    </w:p>
    <w:p>
      <w:pPr>
        <w:spacing w:after="100" w:line="264"/>
        <w:jc w:val="both"/>
      </w:pPr>
      <w:r>
        <w:rPr>
          <w:rFonts w:ascii="Arial" w:cs="Arial" w:eastAsia="Arial" w:hAnsi="Arial"/>
        </w:rPr>
        <w:t xml:space="preserve">Mi (nuestra) responsabilidad es expresar una conclusión sobre el objeto del encargo, con base en la evidencia que obtuve (obtuvimos). Un encargo de aseguramiento razonable incluye entender el control interno, valorar los riesgos de que no sea adecuado, y probar su diseño, su implementación y su eficacia operativa en los controles relevantes, además de verificar la custodia de los bienes mediante arqueos, tomas físicas e inspecciones y los demás procedimientos que consideré (consideramos) necesarios.</w:t>
      </w:r>
    </w:p>
    <w:p>
      <w:pPr>
        <w:keepNext/>
        <w:spacing w:after="60" w:line="264"/>
        <w:jc w:val="both"/>
      </w:pPr>
      <w:r>
        <w:rPr>
          <w:rFonts w:ascii="Arial" w:cs="Arial" w:eastAsia="Arial" w:hAnsi="Arial"/>
          <w:b/>
          <w:bCs/>
        </w:rPr>
        <w:t xml:space="preserve">Limitaciones inherentes</w:t>
      </w:r>
    </w:p>
    <w:p>
      <w:pPr>
        <w:spacing w:after="100" w:line="264"/>
        <w:jc w:val="both"/>
      </w:pPr>
      <w:r>
        <w:rPr>
          <w:rFonts w:ascii="Arial" w:cs="Arial" w:eastAsia="Arial" w:hAnsi="Arial"/>
        </w:rPr>
        <w:t xml:space="preserve">El control interno, por sus limitaciones inherentes, puede no prevenir ni detectar todas las incorrecciones, por error, colusión o elusión por la administración. Además, las proyecciones de cualquier evaluación a periodos futuros están sujetas al riesgo de que los controles se vuelvan inadecuados por cambios en las condiciones.</w:t>
      </w:r>
    </w:p>
    <w:p>
      <w:pPr>
        <w:spacing w:after="0" w:line="264"/>
        <w:jc w:val="left"/>
      </w:pPr>
      <w:r>
        <w:rPr>
          <w:rFonts w:ascii="Arial" w:cs="Arial" w:eastAsia="Arial" w:hAnsi="Arial"/>
          <w:color w:val="8A6A00"/>
          <w:shd w:fill="FFF4CC" w:color="auto" w:val="clear"/>
        </w:rPr>
        <w:t xml:space="preserve">[Nombre del contador público]</w:t>
      </w:r>
    </w:p>
    <w:p>
      <w:pPr>
        <w:spacing w:after="0" w:line="264"/>
        <w:jc w:val="left"/>
      </w:pPr>
      <w:r>
        <w:rPr>
          <w:rFonts w:ascii="Arial" w:cs="Arial" w:eastAsia="Arial" w:hAnsi="Arial"/>
        </w:rPr>
        <w:t xml:space="preserve">Revisor Fiscal, T.P. N.º </w:t>
      </w:r>
      <w:r>
        <w:rPr>
          <w:rFonts w:ascii="Arial" w:cs="Arial" w:eastAsia="Arial" w:hAnsi="Arial"/>
          <w:color w:val="8A6A00"/>
          <w:shd w:fill="FFF4CC" w:color="auto" w:val="clear"/>
        </w:rPr>
        <w:t xml:space="preserve">[número]</w:t>
      </w:r>
    </w:p>
    <w:p>
      <w:pPr>
        <w:spacing w:after="0" w:line="264"/>
        <w:jc w:val="left"/>
      </w:pPr>
      <w:r>
        <w:rPr>
          <w:rFonts w:ascii="Arial" w:cs="Arial" w:eastAsia="Arial" w:hAnsi="Arial"/>
          <w:color w:val="8A6A00"/>
          <w:shd w:fill="FFF4CC" w:color="auto" w:val="clear"/>
        </w:rPr>
        <w:t xml:space="preserve">[Designado por [Firma]</w:t>
      </w:r>
      <w:r>
        <w:rPr>
          <w:rFonts w:ascii="Arial" w:cs="Arial" w:eastAsia="Arial" w:hAnsi="Arial"/>
        </w:rPr>
        <w:t xml:space="preserve">, si aplica]</w:t>
      </w:r>
    </w:p>
    <w:p>
      <w:pPr>
        <w:spacing w:after="0" w:line="264"/>
        <w:jc w:val="left"/>
      </w:pP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[fecha del informe]</w:t>
      </w:r>
    </w:p>
    <w:p>
      <w:pPr>
        <w:spacing w:after="0" w:line="264"/>
        <w:jc w:val="left"/>
      </w:pPr>
      <w:r>
        <w:rPr>
          <w:rFonts w:ascii="Arial" w:cs="Arial" w:eastAsia="Arial" w:hAnsi="Arial"/>
          <w:color w:val="8A6A00"/>
          <w:shd w:fill="FFF4CC" w:color="auto" w:val="clear"/>
        </w:rPr>
        <w:t xml:space="preserve">[Dirección de la firma o del revisor fiscal]</w:t>
      </w:r>
    </w:p>
    <w:p>
      <w:pPr>
        <w:spacing w:after="60" w:line="264"/>
        <w:jc w:val="both"/>
      </w:pP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PT-CI-26  ·  Informe con conclusión adversa</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con conclusión adversa — PT-CI-26</dc:title>
  <dc:creator>Assuran</dc:creator>
  <dc:description>Modelo de informe con conclusión adversa por debilidades materiales o deficiencias generalizadas (ISAE 3000, párr. 74 y 75)</dc:description>
  <cp:lastModifiedBy>Un-named</cp:lastModifiedBy>
  <cp:revision>1</cp:revision>
  <dcterms:created xsi:type="dcterms:W3CDTF">2026-11-03T03:47:40.523Z</dcterms:created>
  <dcterms:modified xsi:type="dcterms:W3CDTF">2026-11-03T03:47:40.523Z</dcterms:modified>
</cp:coreProperties>
</file>

<file path=docProps/custom.xml><?xml version="1.0" encoding="utf-8"?>
<Properties xmlns="http://schemas.openxmlformats.org/officeDocument/2006/custom-properties" xmlns:vt="http://schemas.openxmlformats.org/officeDocument/2006/docPropsVTypes"/>
</file>