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PT-CI-23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Guía del informe de aseguramiento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Cómo se redacta el informe y cuál de los cuatro modelos usar (ISAE 3000, párr. 67 a 71 y 72 a 77)</w:t>
      </w:r>
    </w:p>
    <w:p>
      <w:pPr>
        <w:pStyle w:val="Heading1"/>
        <w:keepNext/>
      </w:pPr>
      <w:r>
        <w:rPr>
          <w:rFonts w:ascii="Arial" w:cs="Arial" w:eastAsia="Arial" w:hAnsi="Arial"/>
        </w:rPr>
        <w:t xml:space="preserve">1. Qué es el informe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El informe es la forma en que el revisor fiscal expresa su conclusión sobre el control interno y la custodia de bienes, por escrito y con seguridad razonable. El art. 5 del Decreto 302 de 2015 permite que no sea un informe separado: puede ir como una sección del informe a la asamblea (Código de Comercio, art. 209), con una opinión propia por cada tema.</w:t>
      </w:r>
    </w:p>
    <w:p>
      <w:pPr>
        <w:pStyle w:val="Heading1"/>
        <w:keepNext/>
      </w:pPr>
      <w:r>
        <w:rPr>
          <w:rFonts w:ascii="Arial" w:cs="Arial" w:eastAsia="Arial" w:hAnsi="Arial"/>
        </w:rPr>
        <w:t xml:space="preserve">2. Contenido mínimo (párr. 69)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Título</w:t>
      </w:r>
      <w:r>
        <w:rPr>
          <w:rFonts w:ascii="Arial" w:cs="Arial" w:eastAsia="Arial" w:hAnsi="Arial"/>
        </w:rPr>
        <w:t xml:space="preserve"> que diga que es un informe de aseguramiento independiente.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Destinatario</w:t>
      </w:r>
      <w:r>
        <w:rPr>
          <w:rFonts w:ascii="Arial" w:cs="Arial" w:eastAsia="Arial" w:hAnsi="Arial"/>
        </w:rPr>
        <w:t xml:space="preserve">: la asamblea de accionistas o la junta de socios.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Descripción de la materia</w:t>
      </w:r>
      <w:r>
        <w:rPr>
          <w:rFonts w:ascii="Arial" w:cs="Arial" w:eastAsia="Arial" w:hAnsi="Arial"/>
        </w:rPr>
        <w:t xml:space="preserve">: el control interno y las medidas de custodia de bienes, y el periodo o la fecha.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Criterios</w:t>
      </w:r>
      <w:r>
        <w:rPr>
          <w:rFonts w:ascii="Arial" w:cs="Arial" w:eastAsia="Arial" w:hAnsi="Arial"/>
        </w:rPr>
        <w:t xml:space="preserve">: el marco COSO 2013 y los criterios de custodia, con dónde se pueden consultar.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Nivel de seguridad</w:t>
      </w:r>
      <w:r>
        <w:rPr>
          <w:rFonts w:ascii="Arial" w:cs="Arial" w:eastAsia="Arial" w:hAnsi="Arial"/>
        </w:rPr>
        <w:t xml:space="preserve">: razonable.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Limitaciones inherentes</w:t>
      </w:r>
      <w:r>
        <w:rPr>
          <w:rFonts w:ascii="Arial" w:cs="Arial" w:eastAsia="Arial" w:hAnsi="Arial"/>
        </w:rPr>
        <w:t xml:space="preserve"> del control interno.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Responsabilidades</w:t>
      </w:r>
      <w:r>
        <w:rPr>
          <w:rFonts w:ascii="Arial" w:cs="Arial" w:eastAsia="Arial" w:hAnsi="Arial"/>
        </w:rPr>
        <w:t xml:space="preserve"> de la administración y del revisor fiscal.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Cumplimiento</w:t>
      </w:r>
      <w:r>
        <w:rPr>
          <w:rFonts w:ascii="Arial" w:cs="Arial" w:eastAsia="Arial" w:hAnsi="Arial"/>
        </w:rPr>
        <w:t xml:space="preserve"> de la ISAE 3000 y de la NICC 1, y declaración de independencia y de ética.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Resumen del trabajo</w:t>
      </w:r>
      <w:r>
        <w:rPr>
          <w:rFonts w:ascii="Arial" w:cs="Arial" w:eastAsia="Arial" w:hAnsi="Arial"/>
        </w:rPr>
        <w:t xml:space="preserve"> hecho.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Conclusión</w:t>
      </w:r>
      <w:r>
        <w:rPr>
          <w:rFonts w:ascii="Arial" w:cs="Arial" w:eastAsia="Arial" w:hAnsi="Arial"/>
        </w:rPr>
        <w:t xml:space="preserve">, clara y separada de otras explicaciones.</w:t>
      </w:r>
    </w:p>
    <w:p>
      <w:pPr>
        <w:pStyle w:val="ListParagraph"/>
        <w:numPr>
          <w:ilvl w:val="0"/>
          <w:numId w:val="2"/>
        </w:numPr>
        <w:spacing w:after="70" w:line="260"/>
        <w:jc w:val="both"/>
      </w:pPr>
      <w:r>
        <w:rPr>
          <w:rFonts w:ascii="Arial" w:cs="Arial" w:eastAsia="Arial" w:hAnsi="Arial"/>
          <w:b/>
          <w:bCs/>
        </w:rPr>
        <w:t xml:space="preserve">Fundamento de la conclusión</w:t>
      </w:r>
      <w:r>
        <w:rPr>
          <w:rFonts w:ascii="Arial" w:cs="Arial" w:eastAsia="Arial" w:hAnsi="Arial"/>
        </w:rPr>
        <w:t xml:space="preserve">, cuando es modificada.</w:t>
      </w:r>
    </w:p>
    <w:p>
      <w:pPr>
        <w:pStyle w:val="ListParagraph"/>
        <w:numPr>
          <w:ilvl w:val="0"/>
          <w:numId w:val="2"/>
        </w:numPr>
        <w:spacing w:after="140" w:line="260"/>
        <w:jc w:val="both"/>
      </w:pPr>
      <w:r>
        <w:rPr>
          <w:rFonts w:ascii="Arial" w:cs="Arial" w:eastAsia="Arial" w:hAnsi="Arial"/>
          <w:b/>
          <w:bCs/>
        </w:rPr>
        <w:t xml:space="preserve">Firma, número de tarjeta profesional, fecha y lugar.</w:t>
      </w:r>
      <w:r>
        <w:rPr>
          <w:rFonts w:ascii="Arial" w:cs="Arial" w:eastAsia="Arial" w:hAnsi="Arial"/>
        </w:rPr>
        <w:t xml:space="preserve"> La fecha no puede ser anterior a la de la evidencia ni a las manifestaciones (PT-CI-20).</w:t>
      </w:r>
    </w:p>
    <w:p>
      <w:pPr>
        <w:pStyle w:val="Heading1"/>
        <w:keepNext/>
      </w:pPr>
      <w:r>
        <w:rPr>
          <w:rFonts w:ascii="Arial" w:cs="Arial" w:eastAsia="Arial" w:hAnsi="Arial"/>
        </w:rPr>
        <w:t xml:space="preserve">3. Qué modelo usar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rPr>
          <w:cantSplit/>
          <w:tblHeader/>
        </w:trPr>
        <w:tc>
          <w:tcPr>
            <w:tcW w:type="dxa" w:w="3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Si la conclusión es</w:t>
            </w:r>
          </w:p>
        </w:tc>
        <w:tc>
          <w:tcPr>
            <w:tcW w:type="dxa" w:w="6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Modelo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Sin salvedades</w:t>
            </w:r>
          </w:p>
        </w:tc>
        <w:tc>
          <w:tcPr>
            <w:tcW w:type="dxa" w:w="6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PT-CI-24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Con salvedades (deficiencia o limitación aislada)</w:t>
            </w:r>
          </w:p>
        </w:tc>
        <w:tc>
          <w:tcPr>
            <w:tcW w:type="dxa" w:w="6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PT-CI-25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Adversa (el control interno no es adecuado)</w:t>
            </w:r>
          </w:p>
        </w:tc>
        <w:tc>
          <w:tcPr>
            <w:tcW w:type="dxa" w:w="6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PT-CI-26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Denegación (no se pudo obtener evidencia)</w:t>
            </w:r>
          </w:p>
        </w:tc>
        <w:tc>
          <w:tcPr>
            <w:tcW w:type="dxa" w:w="61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PT-CI-27</w:t>
            </w:r>
          </w:p>
        </w:tc>
      </w:tr>
    </w:tbl>
    <w:p>
      <w:pPr>
        <w:pStyle w:val="Heading1"/>
        <w:keepNext/>
      </w:pPr>
      <w:r>
        <w:rPr>
          <w:rFonts w:ascii="Arial" w:cs="Arial" w:eastAsia="Arial" w:hAnsi="Arial"/>
        </w:rPr>
        <w:t xml:space="preserve">4. Reglas de redacción</w:t>
      </w:r>
    </w:p>
    <w:p>
      <w:pPr>
        <w:pStyle w:val="ListParagraph"/>
        <w:numPr>
          <w:ilvl w:val="0"/>
          <w:numId w:val="3"/>
        </w:numPr>
        <w:spacing w:after="60" w:line="260"/>
        <w:jc w:val="both"/>
      </w:pPr>
      <w:r>
        <w:rPr>
          <w:rFonts w:ascii="Arial" w:cs="Arial" w:eastAsia="Arial" w:hAnsi="Arial"/>
        </w:rPr>
        <w:t xml:space="preserve">Use el mismo lenguaje de los criterios: “hay y son adecuadas las medidas de control interno y de conservación y custodia de los bienes”.</w:t>
      </w:r>
    </w:p>
    <w:p>
      <w:pPr>
        <w:pStyle w:val="ListParagraph"/>
        <w:numPr>
          <w:ilvl w:val="0"/>
          <w:numId w:val="3"/>
        </w:numPr>
        <w:spacing w:after="60" w:line="260"/>
        <w:jc w:val="both"/>
      </w:pPr>
      <w:r>
        <w:rPr>
          <w:rFonts w:ascii="Arial" w:cs="Arial" w:eastAsia="Arial" w:hAnsi="Arial"/>
        </w:rPr>
        <w:t xml:space="preserve">En una conclusión modificada, describa la deficiencia o la limitación, su efecto y los componentes afectados, sin dar la lista completa de detalles menores (esos van en el PT-CI-21).</w:t>
      </w:r>
    </w:p>
    <w:p>
      <w:pPr>
        <w:pStyle w:val="ListParagraph"/>
        <w:numPr>
          <w:ilvl w:val="0"/>
          <w:numId w:val="3"/>
        </w:numPr>
        <w:spacing w:after="60" w:line="260"/>
        <w:jc w:val="both"/>
      </w:pPr>
      <w:r>
        <w:rPr>
          <w:rFonts w:ascii="Arial" w:cs="Arial" w:eastAsia="Arial" w:hAnsi="Arial"/>
        </w:rPr>
        <w:t xml:space="preserve">No use la frase “seguridad absoluta”. Diga siempre “seguridad razonable”.</w:t>
      </w:r>
    </w:p>
    <w:p>
      <w:pPr>
        <w:pStyle w:val="ListParagraph"/>
        <w:numPr>
          <w:ilvl w:val="0"/>
          <w:numId w:val="3"/>
        </w:numPr>
        <w:spacing w:after="60" w:line="260"/>
        <w:jc w:val="both"/>
      </w:pPr>
      <w:r>
        <w:rPr>
          <w:rFonts w:ascii="Arial" w:cs="Arial" w:eastAsia="Arial" w:hAnsi="Arial"/>
        </w:rPr>
        <w:t xml:space="preserve">Un párrafo de énfasis o de otras cuestiones no modifica la conclusión (párr. 73).</w:t>
      </w:r>
    </w:p>
    <w:p>
      <w:pPr>
        <w:pStyle w:val="ListParagraph"/>
        <w:numPr>
          <w:ilvl w:val="0"/>
          <w:numId w:val="3"/>
        </w:numPr>
        <w:spacing w:after="60" w:line="260"/>
        <w:jc w:val="both"/>
      </w:pPr>
      <w:r>
        <w:rPr>
          <w:rFonts w:ascii="Arial" w:cs="Arial" w:eastAsia="Arial" w:hAnsi="Arial"/>
        </w:rPr>
        <w:t xml:space="preserve">Si hay incorrecciones y limitaciones a la vez, diga ambas (párr. 76).</w:t>
      </w:r>
    </w:p>
    <w:p>
      <w:pPr>
        <w:pStyle w:val="ListParagraph"/>
        <w:numPr>
          <w:ilvl w:val="0"/>
          <w:numId w:val="3"/>
        </w:numPr>
        <w:spacing w:after="60" w:line="260"/>
        <w:jc w:val="both"/>
      </w:pPr>
      <w:r>
        <w:rPr>
          <w:rFonts w:ascii="Arial" w:cs="Arial" w:eastAsia="Arial" w:hAnsi="Arial"/>
        </w:rPr>
        <w:t xml:space="preserve">Si usa el trabajo de un especialista, no lo cite como si disminuyera su responsabilidad (párr. 70).</w:t>
      </w:r>
    </w:p>
    <w:p>
      <w:pPr>
        <w:pStyle w:val="ListParagraph"/>
        <w:numPr>
          <w:ilvl w:val="0"/>
          <w:numId w:val="3"/>
        </w:numPr>
        <w:spacing w:after="140" w:line="260"/>
        <w:jc w:val="both"/>
      </w:pPr>
      <w:r>
        <w:rPr>
          <w:rFonts w:ascii="Arial" w:cs="Arial" w:eastAsia="Arial" w:hAnsi="Arial"/>
        </w:rPr>
        <w:t xml:space="preserve">Si una norma legal le impone la forma del informe, evalúe si puede llevar a error (párr. 71).</w:t>
      </w:r>
    </w:p>
    <w:p>
      <w:pPr>
        <w:pStyle w:val="Heading1"/>
        <w:keepNext/>
      </w:pPr>
      <w:r>
        <w:rPr>
          <w:rFonts w:ascii="Arial" w:cs="Arial" w:eastAsia="Arial" w:hAnsi="Arial"/>
        </w:rPr>
        <w:t xml:space="preserve">5. Cómo se integra con el informe de estados financieros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Si presenta un solo informe del revisor fiscal, ponga la opinión sobre estados financieros (PT-EEFF-34 a 38), la conclusión sobre control interno (este bloque) y la conclusión sobre cumplimiento, cada una con su título y su base. No mezcle las conclusiones. Cada una puede tener un tipo distinto: por ejemplo, opinión limpia en estados financieros y conclusión con salvedades en control interno.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PT-CI-23  ·  Guía del informe de aseguramiento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del informe de aseguramiento — PT-CI-23</dc:title>
  <dc:creator>Assuran</dc:creator>
  <dc:description>Contenido mínimo y reglas de redacción del informe sobre control interno y custodia de bienes (ISAE 3000, párr. 67 a 71)</dc:description>
  <cp:lastModifiedBy>Un-named</cp:lastModifiedBy>
  <cp:revision>1</cp:revision>
  <dcterms:created xsi:type="dcterms:W3CDTF">2026-11-03T03:47:39.886Z</dcterms:created>
  <dcterms:modified xsi:type="dcterms:W3CDTF">2026-11-03T03:47:39.886Z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