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Carta de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Términos del encargo de aseguramiento sobre el control interno (párrafos 27 a 30 de la ISAE 3000)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ya firmó una carta de encargo de revisoría fiscal, puede incorporar estos numerales como un anexo. Persona natural: use “yo”. Complete los campos y elimine las instrucciones. Si no hay junta directiva, dirija la carta al representante legal y a la junta de socios o asamblea.]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[Asamblea general de accionistas o Junta de socios]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 la entidad]</w:t>
      </w:r>
      <w:r>
        <w:rPr>
          <w:rFonts w:ascii="Arial" w:cs="Arial" w:eastAsia="Arial" w:hAnsi="Arial"/>
        </w:rPr>
        <w:t xml:space="preserve">, NIT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[NIT]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 encargo de aseguramiento sobre el control interno y la custodia de bienes, periodo [periodo].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carta confirma los términos del encargo, conforme al art. 209 del Código de Comercio y al Decreto 302 de 2015.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Objetivo y alcance.</w:t>
      </w:r>
      <w:r>
        <w:rPr>
          <w:rFonts w:ascii="Arial" w:cs="Arial" w:eastAsia="Arial" w:hAnsi="Arial"/>
        </w:rPr>
        <w:t xml:space="preserve"> Obtener seguridad razonable y emitir un concepto sobre si hay y son adecuadas las medidas de control interno y de conservación y custodia de los bienes de la sociedad y de terceros que estén en su poder,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cierre o periodo]</w:t>
      </w:r>
      <w:r>
        <w:rPr>
          <w:rFonts w:ascii="Arial" w:cs="Arial" w:eastAsia="Arial" w:hAnsi="Arial"/>
        </w:rPr>
        <w:t xml:space="preserve">. Incluye el diseño, la implementación y la eficacia operativa de los controles relevantes.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Norma aplicable.</w:t>
      </w:r>
      <w:r>
        <w:rPr>
          <w:rFonts w:ascii="Arial" w:cs="Arial" w:eastAsia="Arial" w:hAnsi="Arial"/>
        </w:rPr>
        <w:t xml:space="preserve"> Norma Internacional de Encargos de Aseguramiento 3000 (ISAE 3000) y la NICC 1. Cumplimos el Código de Ética para Profesionales de la Contaduría, incluida la independencia.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Criterios.</w:t>
      </w:r>
      <w:r>
        <w:rPr>
          <w:rFonts w:ascii="Arial" w:cs="Arial" w:eastAsia="Arial" w:hAnsi="Arial"/>
        </w:rPr>
        <w:t xml:space="preserve"> El marco de control interno COSO 2013, aplicado a los componentes y principios que fije la Firma en el PT-CI-03, y los criterios de custodia de bienes ahí descritos.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administración.</w:t>
      </w:r>
      <w:r>
        <w:rPr>
          <w:rFonts w:ascii="Arial" w:cs="Arial" w:eastAsia="Arial" w:hAnsi="Arial"/>
        </w:rPr>
        <w:t xml:space="preserve"> Diseñar, implementar y mantener el control interno y las medidas de custodia; mantener la contabilidad y los registros; dar acceso a toda la información, bienes y personas; y entregar una carta de manifestaciones.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fiscal.</w:t>
      </w:r>
      <w:r>
        <w:rPr>
          <w:rFonts w:ascii="Arial" w:cs="Arial" w:eastAsia="Arial" w:hAnsi="Arial"/>
        </w:rPr>
        <w:t xml:space="preserve"> Planear y ejecutar el trabajo, obtener evidencia suficiente y adecuada, y emitir un informe escrito con nuestra conclusión.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inherentes.</w:t>
      </w:r>
      <w:r>
        <w:rPr>
          <w:rFonts w:ascii="Arial" w:cs="Arial" w:eastAsia="Arial" w:hAnsi="Arial"/>
        </w:rPr>
        <w:t xml:space="preserve"> El control interno da seguridad razonable, no absoluta. Puede fallar por error, colusión o elusión por la administración.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Informe.</w:t>
      </w:r>
      <w:r>
        <w:rPr>
          <w:rFonts w:ascii="Arial" w:cs="Arial" w:eastAsia="Arial" w:hAnsi="Arial"/>
        </w:rPr>
        <w:t xml:space="preserve"> Se entregará dentro del informe del revisor fiscal o por separado, según prefiera la asamblea (Decreto 302, art. 5). Si hay incorrecciones, deficiencias o limitaciones, la conclusión puede ser con salvedades, adversa o denegarse.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Comunicación de deficiencias.</w:t>
      </w:r>
      <w:r>
        <w:rPr>
          <w:rFonts w:ascii="Arial" w:cs="Arial" w:eastAsia="Arial" w:hAnsi="Arial"/>
        </w:rPr>
        <w:t xml:space="preserve"> Informaremos por escrito y oportunamente las deficiencias que identifiquemos (Código de Comercio, art. 207, numeral 2).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Reserva.</w:t>
      </w:r>
      <w:r>
        <w:rPr>
          <w:rFonts w:ascii="Arial" w:cs="Arial" w:eastAsia="Arial" w:hAnsi="Arial"/>
        </w:rPr>
        <w:t xml:space="preserve"> Guardamos reserva de la información (art. 214) y solo la comunicamos en los casos que la ley prevé.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Honorarios y plazos.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[Escriba, o indique que están en la carta de la revisoría fiscal.]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está de acuerdo, devuelva una copia firmada.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  <w:r>
        <w:rPr>
          <w:rFonts w:ascii="Arial" w:cs="Arial" w:eastAsia="Arial" w:hAnsi="Arial"/>
        </w:rPr>
        <w:t xml:space="preserve">, T.P.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[Firma]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Aceptado por la entidad: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cargo, fecha y firma del representante legal]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PT-CI-02  ·  Carta de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encargo — PT-CI-02</dc:title>
  <dc:creator>Assuran</dc:creator>
  <dc:description>Términos del encargo de aseguramiento sobre control interno para la asamblea o junta de socios</dc:description>
  <cp:lastModifiedBy>Un-named</cp:lastModifiedBy>
  <cp:revision>1</cp:revision>
  <dcterms:created xsi:type="dcterms:W3CDTF">2026-11-03T03:47:34.102Z</dcterms:created>
  <dcterms:modified xsi:type="dcterms:W3CDTF">2026-11-03T03:47:34.102Z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