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PT-CI-01</w:t>
      </w:r>
    </w:p>
    <w:p>
      <w:pPr>
        <w:spacing w:after="60"/>
      </w:pPr>
      <w:r>
        <w:rPr>
          <w:rFonts w:ascii="Arial" w:cs="Arial" w:eastAsia="Arial" w:hAnsi="Arial"/>
          <w:b/>
          <w:bCs/>
          <w:color w:val="1F2D3D"/>
          <w:sz w:val="52"/>
          <w:szCs w:val="52"/>
        </w:rPr>
        <w:t xml:space="preserve">Aceptación del encargo y condiciones previas</w:t>
      </w:r>
    </w:p>
    <w:p>
      <w:pPr>
        <w:spacing w:after="160"/>
      </w:pPr>
      <w:r>
        <w:rPr>
          <w:rFonts w:ascii="Arial" w:cs="Arial" w:eastAsia="Arial" w:hAnsi="Arial"/>
          <w:color w:val="2872FA"/>
          <w:sz w:val="24"/>
          <w:szCs w:val="24"/>
        </w:rPr>
        <w:t xml:space="preserve">Párrafos 21 a 26 de la ISAE 3000: ética, competencia, condiciones previas y propósito racional</w:t>
      </w:r>
    </w:p>
    <w:p>
      <w:pPr>
        <w:spacing w:after="110" w:line="264"/>
        <w:jc w:val="both"/>
      </w:pPr>
      <w:r>
        <w:rPr>
          <w:rFonts w:ascii="Arial" w:cs="Arial" w:eastAsia="Arial" w:hAnsi="Arial"/>
          <w:color w:val="8A6A00"/>
          <w:shd w:fill="FFF4CC" w:color="auto" w:val="clear"/>
        </w:rPr>
        <w:t xml:space="preserve">[Complete antes de firmar la carta de encargo. Si es revisor fiscal nombrado por la asamblea, el encargo existe por ley, pero igual debe comprobar que puede concluir con aseguramiento. Si una condición previa no se cumple, no puede decir que el trabajo cumple la ISAE 3000 (párr. 25). Para la aceptación general de la firma use el PT-CALIDAD-06 o 07.]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Cliente</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nombre o razón social]</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NIT</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 el NIT]</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auditado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[Escriba el periodo, por ejemplo 1 de enero a 31 de diciembre de 2026]</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Preparó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Revisó (nombre y fecha)</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Tipo de cliente</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color w:val="8A6A00"/>
                <w:shd w:fill="FFF4CC" w:color="auto" w:val="clear"/>
              </w:rPr>
              <w:t xml:space="preserve">[Entidad con revisoría fiscal obligatoria o voluntaria]</w:t>
            </w:r>
          </w:p>
        </w:tc>
      </w:tr>
      <w:tr>
        <w:trPr>
          <w:cantSplit/>
        </w:trPr>
        <w:tc>
          <w:tcPr>
            <w:tcW w:type="dxa" w:w="270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Periodo o fecha del concepto</w:t>
            </w:r>
          </w:p>
        </w:tc>
        <w:tc>
          <w:tcPr>
            <w:tcW w:type="dxa" w:w="6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color w:val="8A6A00"/>
                <w:shd w:fill="FFF4CC" w:color="auto" w:val="clear"/>
              </w:rPr>
              <w:t xml:space="preserve">[Escriba]</w:t>
            </w:r>
          </w:p>
        </w:tc>
      </w:tr>
    </w:tbl>
    <w:p>
      <w:pPr>
        <w:pStyle w:val="Heading2"/>
        <w:keepNext/>
      </w:pPr>
      <w:r>
        <w:rPr>
          <w:rFonts w:ascii="Arial" w:cs="Arial" w:eastAsia="Arial" w:hAnsi="Arial"/>
        </w:rPr>
        <w:t xml:space="preserve">I. Ética, competencia y recursos (párr. 21 a 23)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Firma y el equipo cumplen el Código de Ética (independencia, art. 205 del Código de Comercio, y PT-CALIDAD-05).</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integrantes firmaron la declaración de confidencialidad (PT-CALIDAD-04).</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equipo tiene la competencia y el tiempo para un encargo sobre control interno (marco COSO, procesos, TI).</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responsable del encargo cumple lo del art. 215 del Código de Comercio (contador público; no más de cinco sociedades por acciones).</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completó el procedimiento de aceptación o continuidad de la Firma (PT-CALIDAD-06 o 07).</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 Condiciones previas (párr. 24)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720"/>
        <w:gridCol w:w="720"/>
        <w:gridCol w:w="720"/>
        <w:gridCol w:w="2200"/>
      </w:tblGrid>
      <w:tr>
        <w:trPr>
          <w:cantSplit/>
          <w:tblHeader/>
        </w:trPr>
        <w:tc>
          <w:tcPr>
            <w:tcW w:type="dxa" w:w="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44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Pregunta</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Sí</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w:t>
            </w:r>
          </w:p>
        </w:tc>
        <w:tc>
          <w:tcPr>
            <w:tcW w:type="dxa" w:w="72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N/A</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Referencia</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1</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Las </w:t>
            </w:r>
            <w:r>
              <w:rPr>
                <w:rFonts w:ascii="Arial" w:cs="Arial" w:eastAsia="Arial" w:hAnsi="Arial"/>
                <w:b/>
                <w:bCs/>
              </w:rPr>
              <w:t xml:space="preserve">funciones y responsabilidades</w:t>
            </w:r>
            <w:r>
              <w:rPr>
                <w:rFonts w:ascii="Arial" w:cs="Arial" w:eastAsia="Arial" w:hAnsi="Arial"/>
              </w:rPr>
              <w:t xml:space="preserve"> están claras: la administración es responsable del control interno y de la custodia de bienes; el revisor fiscal, de dar su concepto.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2</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w:t>
            </w:r>
            <w:r>
              <w:rPr>
                <w:rFonts w:ascii="Arial" w:cs="Arial" w:eastAsia="Arial" w:hAnsi="Arial"/>
                <w:b/>
                <w:bCs/>
              </w:rPr>
              <w:t xml:space="preserve">materia subyacente</w:t>
            </w:r>
            <w:r>
              <w:rPr>
                <w:rFonts w:ascii="Arial" w:cs="Arial" w:eastAsia="Arial" w:hAnsi="Arial"/>
              </w:rPr>
              <w:t xml:space="preserve"> es adecuada: el control interno del periodo y las medidas de custodia son identificables y evaluables.</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3</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w:t>
            </w:r>
            <w:r>
              <w:rPr>
                <w:rFonts w:ascii="Arial" w:cs="Arial" w:eastAsia="Arial" w:hAnsi="Arial"/>
                <w:b/>
                <w:bCs/>
              </w:rPr>
              <w:t xml:space="preserve">criterios son idóneos</w:t>
            </w:r>
            <w:r>
              <w:rPr>
                <w:rFonts w:ascii="Arial" w:cs="Arial" w:eastAsia="Arial" w:hAnsi="Arial"/>
              </w:rPr>
              <w:t xml:space="preserve">: relevantes, completos, fiables, neutrales y comprensibles (COSO 2013 y los criterios de custodia del PT-CI-03).</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4</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criterios estarán </w:t>
            </w:r>
            <w:r>
              <w:rPr>
                <w:rFonts w:ascii="Arial" w:cs="Arial" w:eastAsia="Arial" w:hAnsi="Arial"/>
                <w:b/>
                <w:bCs/>
              </w:rPr>
              <w:t xml:space="preserve">disponibles</w:t>
            </w:r>
            <w:r>
              <w:rPr>
                <w:rFonts w:ascii="Arial" w:cs="Arial" w:eastAsia="Arial" w:hAnsi="Arial"/>
              </w:rPr>
              <w:t xml:space="preserve"> para los usuarios (se citan en el informe).</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5</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puede obtener </w:t>
            </w:r>
            <w:r>
              <w:rPr>
                <w:rFonts w:ascii="Arial" w:cs="Arial" w:eastAsia="Arial" w:hAnsi="Arial"/>
                <w:b/>
                <w:bCs/>
              </w:rPr>
              <w:t xml:space="preserve">evidencia suficiente y adecuada</w:t>
            </w:r>
            <w:r>
              <w:rPr>
                <w:rFonts w:ascii="Arial" w:cs="Arial" w:eastAsia="Arial" w:hAnsi="Arial"/>
              </w:rPr>
              <w:t xml:space="preserve"> (acceso a libros, procesos, bienes, sistemas y personas; art. 213 del Código de Comercio).</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6</w:t>
            </w:r>
          </w:p>
        </w:tc>
        <w:tc>
          <w:tcPr>
            <w:tcW w:type="dxa" w:w="44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conclusión se puede expresar en un </w:t>
            </w:r>
            <w:r>
              <w:rPr>
                <w:rFonts w:ascii="Arial" w:cs="Arial" w:eastAsia="Arial" w:hAnsi="Arial"/>
                <w:b/>
                <w:bCs/>
              </w:rPr>
              <w:t xml:space="preserve">informe escrito</w:t>
            </w:r>
            <w:r>
              <w:rPr>
                <w:rFonts w:ascii="Arial" w:cs="Arial" w:eastAsia="Arial" w:hAnsi="Arial"/>
              </w:rPr>
              <w:t xml:space="preserve">.</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Pr>
        <w:tc>
          <w:tcPr>
            <w:tcW w:type="dxa" w:w="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7</w:t>
            </w:r>
          </w:p>
        </w:tc>
        <w:tc>
          <w:tcPr>
            <w:tcW w:type="dxa" w:w="44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encargo tiene un </w:t>
            </w:r>
            <w:r>
              <w:rPr>
                <w:rFonts w:ascii="Arial" w:cs="Arial" w:eastAsia="Arial" w:hAnsi="Arial"/>
                <w:b/>
                <w:bCs/>
              </w:rPr>
              <w:t xml:space="preserve">propósito racional</w:t>
            </w:r>
            <w:r>
              <w:rPr>
                <w:rFonts w:ascii="Arial" w:cs="Arial" w:eastAsia="Arial" w:hAnsi="Arial"/>
              </w:rPr>
              <w:t xml:space="preserve"> y no hay limitación al alcance impuesta por la administración.</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72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p>
      <w:pPr>
        <w:spacing w:after="80"/>
      </w:pPr>
    </w:p>
    <w:p>
      <w:pPr>
        <w:pStyle w:val="Heading2"/>
        <w:keepNext/>
      </w:pPr>
      <w:r>
        <w:rPr>
          <w:rFonts w:ascii="Arial" w:cs="Arial" w:eastAsia="Arial" w:hAnsi="Arial"/>
        </w:rPr>
        <w:t xml:space="preserve">III. Decisión</w:t>
      </w:r>
    </w:p>
    <w:p>
      <w:pPr>
        <w:spacing w:after="60" w:line="264"/>
        <w:jc w:val="both"/>
      </w:pPr>
      <w:r>
        <w:rPr>
          <w:rFonts w:ascii="Arial" w:cs="Arial" w:eastAsia="Arial" w:hAnsi="Arial"/>
        </w:rPr>
        <w:t xml:space="preserve">Si alguna respuesta es “No”, explique y decida entre no aceptar o pedir a la administración que corrija la condición. No acepte una limitación al alcance impuesta antes del encargo (párr. 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Decisión (acepta, acepta con condiciones, no acepta) y razones</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p>
      <w:pPr>
        <w:spacing w:after="100" w:line="264"/>
        <w:jc w:val="both"/>
      </w:pPr>
      <w:r>
        <w:rPr>
          <w:rFonts w:ascii="Arial" w:cs="Arial" w:eastAsia="Arial" w:hAnsi="Arial"/>
          <w:b/>
          <w:bCs/>
        </w:rPr>
        <w:t xml:space="preserve">Nivel de seguridad:</w:t>
      </w:r>
      <w:r>
        <w:rPr>
          <w:rFonts w:ascii="Arial" w:cs="Arial" w:eastAsia="Arial" w:hAnsi="Arial"/>
        </w:rPr>
        <w:t xml:space="preserve"> razonable (art. 209 del Código de Comercio pide un concepto sobre si hay y son adecuadas las medidas). </w:t>
      </w:r>
      <w:r>
        <w:rPr>
          <w:rFonts w:ascii="Arial" w:cs="Arial" w:eastAsia="Arial" w:hAnsi="Arial"/>
          <w:b/>
          <w:bCs/>
        </w:rPr>
        <w:t xml:space="preserve">Materia:</w:t>
      </w:r>
      <w:r>
        <w:rPr>
          <w:rFonts w:ascii="Arial" w:cs="Arial" w:eastAsia="Arial" w:hAnsi="Arial"/>
        </w:rPr>
        <w:t xml:space="preserve"> control interno y custodia de bienes. </w:t>
      </w:r>
      <w:r>
        <w:rPr>
          <w:rFonts w:ascii="Arial" w:cs="Arial" w:eastAsia="Arial" w:hAnsi="Arial"/>
          <w:b/>
          <w:bCs/>
        </w:rPr>
        <w:t xml:space="preserve">Criterios:</w:t>
      </w:r>
      <w:r>
        <w:rPr>
          <w:rFonts w:ascii="Arial" w:cs="Arial" w:eastAsia="Arial" w:hAnsi="Arial"/>
        </w:rPr>
        <w:t xml:space="preserve"> PT-CI-03.</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PT-CI-01  ·  Aceptación del encargo y condiciones previas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Aceptación del encargo y condiciones previas — PT-CI-01</dc:title>
  <dc:creator>Assuran</dc:creator>
  <dc:description>Verificación de las condiciones previas de la ISAE 3000 antes de aceptar el encargo de aseguramiento sobre control interno</dc:description>
  <cp:lastModifiedBy>Un-named</cp:lastModifiedBy>
  <cp:revision>1</cp:revision>
  <dcterms:created xsi:type="dcterms:W3CDTF">2026-11-03T03:47:33.883Z</dcterms:created>
  <dcterms:modified xsi:type="dcterms:W3CDTF">2026-11-03T03:47:33.884Z</dcterms:modified>
</cp:coreProperties>
</file>

<file path=docProps/custom.xml><?xml version="1.0" encoding="utf-8"?>
<Properties xmlns="http://schemas.openxmlformats.org/officeDocument/2006/custom-properties" xmlns:vt="http://schemas.openxmlformats.org/officeDocument/2006/docPropsVTypes"/>
</file>