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PT-CALIDAD-00</w:t>
      </w:r>
    </w:p>
    <w:p>
      <w:pPr>
        <w:spacing w:after="60"/>
      </w:pPr>
      <w:r>
        <w:rPr>
          <w:rFonts w:ascii="Arial" w:cs="Arial" w:eastAsia="Arial" w:hAnsi="Arial"/>
          <w:b/>
          <w:bCs/>
          <w:color w:val="1F2D3D"/>
          <w:sz w:val="52"/>
          <w:szCs w:val="52"/>
        </w:rPr>
        <w:t xml:space="preserve">Manual de gestión de calidad</w:t>
      </w:r>
    </w:p>
    <w:p>
      <w:pPr>
        <w:spacing w:after="160"/>
      </w:pPr>
      <w:r>
        <w:rPr>
          <w:rFonts w:ascii="Arial" w:cs="Arial" w:eastAsia="Arial" w:hAnsi="Arial"/>
          <w:color w:val="2872FA"/>
          <w:sz w:val="24"/>
          <w:szCs w:val="24"/>
        </w:rPr>
        <w:t xml:space="preserve">Modelo para ejercientes individuales (personas naturales) y firmas (personas jurídicas)</w:t>
      </w:r>
    </w:p>
    <w:p>
      <w:pPr>
        <w:spacing w:after="160" w:line="264"/>
        <w:jc w:val="both"/>
      </w:pPr>
      <w:r>
        <w:rPr>
          <w:rFonts w:ascii="Arial" w:cs="Arial" w:eastAsia="Arial" w:hAnsi="Arial"/>
          <w:b/>
          <w:bCs/>
          <w:color w:val="8A6A00"/>
          <w:sz w:val="26"/>
          <w:szCs w:val="26"/>
          <w:shd w:fill="FFF4CC" w:color="auto" w:val="clear"/>
        </w:rPr>
        <w:t xml:space="preserve">[Escriba el nombre del profesional o de la firma]</w:t>
      </w:r>
    </w:p>
    <w:p>
      <w:pPr>
        <w:spacing w:after="30"/>
        <w:jc w:val="right"/>
      </w:pPr>
      <w:r>
        <w:rPr>
          <w:rFonts w:ascii="Arial" w:cs="Arial" w:eastAsia="Arial" w:hAnsi="Arial"/>
          <w:b/>
          <w:bCs/>
          <w:color w:val="6B7A8C"/>
          <w:sz w:val="20"/>
          <w:szCs w:val="20"/>
        </w:rPr>
        <w:t xml:space="preserve">Versión: </w:t>
      </w:r>
      <w:r>
        <w:rPr>
          <w:rFonts w:ascii="Arial" w:cs="Arial" w:eastAsia="Arial" w:hAnsi="Arial"/>
          <w:color w:val="8A6A00"/>
          <w:sz w:val="20"/>
          <w:szCs w:val="20"/>
          <w:shd w:fill="FFF4CC" w:color="auto" w:val="clear"/>
        </w:rPr>
        <w:t xml:space="preserve">[Escriba la versión, por ejemplo 2026.1]</w:t>
      </w:r>
    </w:p>
    <w:p>
      <w:pPr>
        <w:spacing w:after="30"/>
        <w:jc w:val="right"/>
      </w:pPr>
      <w:r>
        <w:rPr>
          <w:rFonts w:ascii="Arial" w:cs="Arial" w:eastAsia="Arial" w:hAnsi="Arial"/>
          <w:b/>
          <w:bCs/>
          <w:color w:val="6B7A8C"/>
          <w:sz w:val="20"/>
          <w:szCs w:val="20"/>
        </w:rPr>
        <w:t xml:space="preserve">Aprobado por: </w:t>
      </w:r>
      <w:r>
        <w:rPr>
          <w:rFonts w:ascii="Arial" w:cs="Arial" w:eastAsia="Arial" w:hAnsi="Arial"/>
          <w:color w:val="8A6A00"/>
          <w:sz w:val="20"/>
          <w:szCs w:val="20"/>
          <w:shd w:fill="FFF4CC" w:color="auto" w:val="clear"/>
        </w:rPr>
        <w:t xml:space="preserve">[Escriba nombre y cargo]</w:t>
      </w:r>
    </w:p>
    <w:p>
      <w:pPr>
        <w:spacing w:after="30"/>
        <w:jc w:val="right"/>
      </w:pPr>
      <w:r>
        <w:rPr>
          <w:rFonts w:ascii="Arial" w:cs="Arial" w:eastAsia="Arial" w:hAnsi="Arial"/>
          <w:b/>
          <w:bCs/>
          <w:color w:val="6B7A8C"/>
          <w:sz w:val="20"/>
          <w:szCs w:val="20"/>
        </w:rPr>
        <w:t xml:space="preserve">Fecha de aprobación: </w:t>
      </w:r>
      <w:r>
        <w:rPr>
          <w:rFonts w:ascii="Arial" w:cs="Arial" w:eastAsia="Arial" w:hAnsi="Arial"/>
          <w:color w:val="8A6A00"/>
          <w:sz w:val="20"/>
          <w:szCs w:val="20"/>
          <w:shd w:fill="FFF4CC" w:color="auto" w:val="clear"/>
        </w:rPr>
        <w:t xml:space="preserve">[Escriba la fecha]</w:t>
      </w:r>
    </w:p>
    <w:p>
      <w:pPr>
        <w:spacing w:after="30"/>
        <w:jc w:val="right"/>
      </w:pPr>
      <w:r>
        <w:rPr>
          <w:rFonts w:ascii="Arial" w:cs="Arial" w:eastAsia="Arial" w:hAnsi="Arial"/>
          <w:b/>
          <w:bCs/>
          <w:color w:val="6B7A8C"/>
          <w:sz w:val="20"/>
          <w:szCs w:val="20"/>
        </w:rPr>
        <w:t xml:space="preserve">Próxima revisión: </w:t>
      </w:r>
      <w:r>
        <w:rPr>
          <w:rFonts w:ascii="Arial" w:cs="Arial" w:eastAsia="Arial" w:hAnsi="Arial"/>
          <w:color w:val="8A6A00"/>
          <w:sz w:val="20"/>
          <w:szCs w:val="20"/>
          <w:shd w:fill="FFF4CC" w:color="auto" w:val="clear"/>
        </w:rPr>
        <w:t xml:space="preserve">[Escriba la fecha; máximo 12 meses]</w:t>
      </w:r>
    </w:p>
    <w:p>
      <w:pPr>
        <w:spacing w:after="80"/>
      </w:pPr>
    </w:p>
    <w:p>
      <w:pPr>
        <w:spacing w:after="110" w:line="264"/>
        <w:jc w:val="both"/>
      </w:pPr>
      <w:r>
        <w:rPr>
          <w:rFonts w:ascii="Arial" w:cs="Arial" w:eastAsia="Arial" w:hAnsi="Arial"/>
        </w:rPr>
        <w:t xml:space="preserve">Este manual desarrolla el sistema de gestión de calidad de </w:t>
      </w:r>
      <w:r>
        <w:rPr>
          <w:rFonts w:ascii="Arial" w:cs="Arial" w:eastAsia="Arial" w:hAnsi="Arial"/>
          <w:color w:val="8A6A00"/>
          <w:shd w:fill="FFF4CC" w:color="auto" w:val="clear"/>
        </w:rPr>
        <w:t xml:space="preserve">[Escriba el nombre del profesional o de la firma]</w:t>
      </w:r>
      <w:r>
        <w:rPr>
          <w:rFonts w:ascii="Arial" w:cs="Arial" w:eastAsia="Arial" w:hAnsi="Arial"/>
        </w:rPr>
        <w:t xml:space="preserve"> (“la Firma”) en sus encargos de auditoría, revisión de estados financieros, otros encargos de aseguramiento y servicios relacionados. Se basa en la Norma Internacional de Gestión de Calidad 1 (</w:t>
      </w:r>
      <w:r>
        <w:rPr>
          <w:rFonts w:ascii="Arial" w:cs="Arial" w:eastAsia="Arial" w:hAnsi="Arial"/>
          <w:b/>
          <w:bCs/>
        </w:rPr>
        <w:t xml:space="preserve">NIGC 1</w:t>
      </w:r>
      <w:r>
        <w:rPr>
          <w:rFonts w:ascii="Arial" w:cs="Arial" w:eastAsia="Arial" w:hAnsi="Arial"/>
        </w:rPr>
        <w:t xml:space="preserve">, que reemplaza a la NICC 1), en la NIGC 2 y en la NIA 220 (revisada), adoptadas en Colombia con el Decreto 2420 de 2015 y sus modificaciones. Sigue la metodología del Foro de Firmas Interamericanas de la AIC y sus 18 anexos, que aquí son los papeles PT-CALIDAD-01 a 18.</w:t>
      </w:r>
    </w:p>
    <w:p>
      <w:pPr>
        <w:spacing w:after="110" w:line="264"/>
        <w:jc w:val="both"/>
      </w:pPr>
      <w:r>
        <w:rPr>
          <w:rFonts w:ascii="Arial" w:cs="Arial" w:eastAsia="Arial" w:hAnsi="Arial"/>
          <w:color w:val="8A6A00"/>
          <w:shd w:fill="FFF4CC" w:color="auto" w:val="clear"/>
        </w:rPr>
        <w:t xml:space="preserve">[Persona jurídica: use el manual como está. Persona natural (ejerciente individual en Colombia, con pocos encargos): lea “la Firma” como “yo”, siga las notas “Persona natural” y elimine lo que no le aplique, por ejemplo los roles que no existan en su práctica.]</w:t>
      </w:r>
    </w:p>
    <w:p>
      <w:pPr>
        <w:pStyle w:val="Heading2"/>
        <w:keepNext/>
      </w:pPr>
      <w:r>
        <w:rPr>
          <w:rFonts w:ascii="Arial" w:cs="Arial" w:eastAsia="Arial" w:hAnsi="Arial"/>
        </w:rPr>
        <w:t xml:space="preserve">Quién cumple cada rol</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3530"/>
        <w:gridCol w:w="3530"/>
      </w:tblGrid>
      <w:tr>
        <w:trPr>
          <w:cantSplit/>
          <w:tblHeader/>
        </w:trPr>
        <w:tc>
          <w:tcPr>
            <w:tcW w:type="dxa" w:w="23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Rol</w:t>
            </w:r>
          </w:p>
        </w:tc>
        <w:tc>
          <w:tcPr>
            <w:tcW w:type="dxa" w:w="353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Persona jurídica</w:t>
            </w:r>
          </w:p>
        </w:tc>
        <w:tc>
          <w:tcPr>
            <w:tcW w:type="dxa" w:w="353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Persona natural</w:t>
            </w:r>
          </w:p>
        </w:tc>
      </w:tr>
      <w:tr>
        <w:trPr>
          <w:cantSplit/>
        </w:trPr>
        <w:tc>
          <w:tcPr>
            <w:tcW w:type="dxa" w:w="23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Responsable final del sistema</w:t>
            </w:r>
          </w:p>
        </w:tc>
        <w:tc>
          <w:tcPr>
            <w:tcW w:type="dxa" w:w="353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El socio director o quien haga sus veces.</w:t>
            </w:r>
          </w:p>
        </w:tc>
        <w:tc>
          <w:tcPr>
            <w:tcW w:type="dxa" w:w="353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El mismo profesional.</w:t>
            </w:r>
          </w:p>
        </w:tc>
      </w:tr>
      <w:tr>
        <w:trPr>
          <w:cantSplit/>
        </w:trPr>
        <w:tc>
          <w:tcPr>
            <w:tcW w:type="dxa" w:w="23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Responsable operativo del sistema</w:t>
            </w:r>
          </w:p>
        </w:tc>
        <w:tc>
          <w:tcPr>
            <w:tcW w:type="dxa" w:w="353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Un socio o miembro designado, con experiencia y autoridad.</w:t>
            </w:r>
          </w:p>
        </w:tc>
        <w:tc>
          <w:tcPr>
            <w:tcW w:type="dxa" w:w="353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El mismo profesional.</w:t>
            </w:r>
          </w:p>
        </w:tc>
      </w:tr>
      <w:tr>
        <w:trPr>
          <w:cantSplit/>
        </w:trPr>
        <w:tc>
          <w:tcPr>
            <w:tcW w:type="dxa" w:w="23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Revisor de calidad del encargo</w:t>
            </w:r>
          </w:p>
        </w:tc>
        <w:tc>
          <w:tcPr>
            <w:tcW w:type="dxa" w:w="353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Un socio o miembro que no participó en el encargo.</w:t>
            </w:r>
          </w:p>
        </w:tc>
        <w:tc>
          <w:tcPr>
            <w:tcW w:type="dxa" w:w="353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Un colega o firma externa, en los encargos de mayor riesgo.</w:t>
            </w:r>
          </w:p>
        </w:tc>
      </w:tr>
      <w:tr>
        <w:trPr>
          <w:cantSplit/>
        </w:trPr>
        <w:tc>
          <w:tcPr>
            <w:tcW w:type="dxa" w:w="23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Inspector del seguimiento</w:t>
            </w:r>
          </w:p>
        </w:tc>
        <w:tc>
          <w:tcPr>
            <w:tcW w:type="dxa" w:w="353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Un miembro que no hizo los encargos revisados, o un externo.</w:t>
            </w:r>
          </w:p>
        </w:tc>
        <w:tc>
          <w:tcPr>
            <w:tcW w:type="dxa" w:w="353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Un colega externo; si no es posible, autoevaluación documentada.</w:t>
            </w:r>
          </w:p>
        </w:tc>
      </w:tr>
    </w:tbl>
    <w:p>
      <w:pPr>
        <w:spacing w:after="60"/>
      </w:pPr>
    </w:p>
    <w:p>
      <w:pPr>
        <w:pStyle w:val="Heading1"/>
        <w:keepNext/>
      </w:pPr>
      <w:r>
        <w:rPr>
          <w:rFonts w:ascii="Arial" w:cs="Arial" w:eastAsia="Arial" w:hAnsi="Arial"/>
        </w:rPr>
        <w:t xml:space="preserve">Componentes del sistema y requisitos previos</w:t>
      </w:r>
    </w:p>
    <w:p>
      <w:pPr>
        <w:keepNext/>
        <w:spacing w:after="60" w:line="264"/>
        <w:jc w:val="both"/>
      </w:pPr>
      <w:r>
        <w:rPr>
          <w:rFonts w:ascii="Arial" w:cs="Arial" w:eastAsia="Arial" w:hAnsi="Arial"/>
        </w:rPr>
        <w:t xml:space="preserve">La NIGC 1 exige aplicar un enfoque basado en riesgos para diseñar, implementar y operar, de forma interconectada, los componentes del sistema. El sistema da seguridad razonable de que (a) la Firma y su personal cumplen las normas profesionales y los requerimientos legales, y (b) los informes emitidos son adecuados a las circunstancias. Los componentes son:</w:t>
      </w:r>
    </w:p>
    <w:p>
      <w:pPr>
        <w:pStyle w:val="ListParagraph"/>
        <w:numPr>
          <w:ilvl w:val="0"/>
          <w:numId w:val="2"/>
        </w:numPr>
        <w:spacing w:after="70" w:line="260"/>
        <w:jc w:val="both"/>
      </w:pPr>
      <w:r>
        <w:rPr>
          <w:rFonts w:ascii="Arial" w:cs="Arial" w:eastAsia="Arial" w:hAnsi="Arial"/>
        </w:rPr>
        <w:t xml:space="preserve">Proceso de valoración de riesgos de la Firma.</w:t>
      </w:r>
    </w:p>
    <w:p>
      <w:pPr>
        <w:pStyle w:val="ListParagraph"/>
        <w:numPr>
          <w:ilvl w:val="0"/>
          <w:numId w:val="2"/>
        </w:numPr>
        <w:spacing w:after="70" w:line="260"/>
        <w:jc w:val="both"/>
      </w:pPr>
      <w:r>
        <w:rPr>
          <w:rFonts w:ascii="Arial" w:cs="Arial" w:eastAsia="Arial" w:hAnsi="Arial"/>
        </w:rPr>
        <w:t xml:space="preserve">Gobierno y liderazgo.</w:t>
      </w:r>
    </w:p>
    <w:p>
      <w:pPr>
        <w:pStyle w:val="ListParagraph"/>
        <w:numPr>
          <w:ilvl w:val="0"/>
          <w:numId w:val="2"/>
        </w:numPr>
        <w:spacing w:after="70" w:line="260"/>
        <w:jc w:val="both"/>
      </w:pPr>
      <w:r>
        <w:rPr>
          <w:rFonts w:ascii="Arial" w:cs="Arial" w:eastAsia="Arial" w:hAnsi="Arial"/>
        </w:rPr>
        <w:t xml:space="preserve">Requerimientos de ética aplicables.</w:t>
      </w:r>
    </w:p>
    <w:p>
      <w:pPr>
        <w:pStyle w:val="ListParagraph"/>
        <w:numPr>
          <w:ilvl w:val="0"/>
          <w:numId w:val="2"/>
        </w:numPr>
        <w:spacing w:after="70" w:line="260"/>
        <w:jc w:val="both"/>
      </w:pPr>
      <w:r>
        <w:rPr>
          <w:rFonts w:ascii="Arial" w:cs="Arial" w:eastAsia="Arial" w:hAnsi="Arial"/>
        </w:rPr>
        <w:t xml:space="preserve">Aceptación y continuidad de las relaciones con clientes y de encargos específicos.</w:t>
      </w:r>
    </w:p>
    <w:p>
      <w:pPr>
        <w:pStyle w:val="ListParagraph"/>
        <w:numPr>
          <w:ilvl w:val="0"/>
          <w:numId w:val="2"/>
        </w:numPr>
        <w:spacing w:after="70" w:line="260"/>
        <w:jc w:val="both"/>
      </w:pPr>
      <w:r>
        <w:rPr>
          <w:rFonts w:ascii="Arial" w:cs="Arial" w:eastAsia="Arial" w:hAnsi="Arial"/>
        </w:rPr>
        <w:t xml:space="preserve">Realización de los encargos.</w:t>
      </w:r>
    </w:p>
    <w:p>
      <w:pPr>
        <w:pStyle w:val="ListParagraph"/>
        <w:numPr>
          <w:ilvl w:val="0"/>
          <w:numId w:val="2"/>
        </w:numPr>
        <w:spacing w:after="70" w:line="260"/>
        <w:jc w:val="both"/>
      </w:pPr>
      <w:r>
        <w:rPr>
          <w:rFonts w:ascii="Arial" w:cs="Arial" w:eastAsia="Arial" w:hAnsi="Arial"/>
        </w:rPr>
        <w:t xml:space="preserve">Recursos.</w:t>
      </w:r>
    </w:p>
    <w:p>
      <w:pPr>
        <w:pStyle w:val="ListParagraph"/>
        <w:numPr>
          <w:ilvl w:val="0"/>
          <w:numId w:val="2"/>
        </w:numPr>
        <w:spacing w:after="70" w:line="260"/>
        <w:jc w:val="both"/>
      </w:pPr>
      <w:r>
        <w:rPr>
          <w:rFonts w:ascii="Arial" w:cs="Arial" w:eastAsia="Arial" w:hAnsi="Arial"/>
        </w:rPr>
        <w:t xml:space="preserve">Información y comunicación.</w:t>
      </w:r>
    </w:p>
    <w:p>
      <w:pPr>
        <w:pStyle w:val="ListParagraph"/>
        <w:numPr>
          <w:ilvl w:val="0"/>
          <w:numId w:val="2"/>
        </w:numPr>
        <w:spacing w:after="140" w:line="260"/>
        <w:jc w:val="both"/>
      </w:pPr>
      <w:r>
        <w:rPr>
          <w:rFonts w:ascii="Arial" w:cs="Arial" w:eastAsia="Arial" w:hAnsi="Arial"/>
        </w:rPr>
        <w:t xml:space="preserve">Proceso de seguimiento y corrección.</w:t>
      </w:r>
    </w:p>
    <w:p>
      <w:pPr>
        <w:spacing w:after="110" w:line="264"/>
        <w:jc w:val="both"/>
      </w:pPr>
      <w:r>
        <w:rPr>
          <w:rFonts w:ascii="Arial" w:cs="Arial" w:eastAsia="Arial" w:hAnsi="Arial"/>
        </w:rPr>
        <w:t xml:space="preserve">La documentación es transversal a todos los componentes. La valoración de riesgos y el seguimiento son procesos, por lo que no tienen objetivos de calidad propios; los demás componentes sí los tienen.</w:t>
      </w:r>
    </w:p>
    <w:p>
      <w:pPr>
        <w:pStyle w:val="Heading1"/>
        <w:keepNext/>
      </w:pPr>
      <w:r>
        <w:rPr>
          <w:rFonts w:ascii="Arial" w:cs="Arial" w:eastAsia="Arial" w:hAnsi="Arial"/>
        </w:rPr>
        <w:t xml:space="preserve">1. Proceso de valoración de riesgos</w:t>
      </w:r>
    </w:p>
    <w:p>
      <w:pPr>
        <w:spacing w:after="110" w:line="264"/>
        <w:jc w:val="both"/>
      </w:pPr>
      <w:r>
        <w:rPr>
          <w:rFonts w:ascii="Arial" w:cs="Arial" w:eastAsia="Arial" w:hAnsi="Arial"/>
        </w:rPr>
        <w:t xml:space="preserve">El sistema es eficaz en la medida en que se logran sus objetivos. Por eso, en cada componente la Firma: (1) fija los objetivos de calidad, (2) identifica y valora los riesgos que podrían impedirlos y (3) diseña respuestas. Un riesgo de calidad es el que tiene una posibilidad razonable de ocurrir y de afectar uno o más objetivos. Es escalable: depende de la naturaleza y circunstancias de la Firma y de sus encargos, así que cada firma adapta su propia matriz.</w:t>
      </w:r>
    </w:p>
    <w:p>
      <w:pPr>
        <w:pStyle w:val="Heading2"/>
        <w:keepNext/>
      </w:pPr>
      <w:r>
        <w:rPr>
          <w:rFonts w:ascii="Arial" w:cs="Arial" w:eastAsia="Arial" w:hAnsi="Arial"/>
        </w:rPr>
        <w:t xml:space="preserve">Metodología de valoración</w:t>
      </w:r>
    </w:p>
    <w:p>
      <w:pPr>
        <w:keepNext/>
        <w:spacing w:after="80" w:line="264"/>
        <w:jc w:val="both"/>
      </w:pPr>
      <w:r>
        <w:rPr>
          <w:rFonts w:ascii="Arial" w:cs="Arial" w:eastAsia="Arial" w:hAnsi="Arial"/>
        </w:rPr>
        <w:t xml:space="preserve">Cada riesgo se califica con números, sin letras ni categorías adicionales: una probabilidad de 1 a 3 y un impacto de 1 a 3. El resultado combinado es su producto (P × I) y se lee por color.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000"/>
        <w:gridCol w:w="6260"/>
      </w:tblGrid>
      <w:tr>
        <w:trPr>
          <w:cantSplit/>
          <w:tblHeader/>
        </w:trPr>
        <w:tc>
          <w:tcPr>
            <w:tcW w:type="dxa" w:w="11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Valor</w:t>
            </w:r>
          </w:p>
        </w:tc>
        <w:tc>
          <w:tcPr>
            <w:tcW w:type="dxa" w:w="2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Probabilidad</w:t>
            </w:r>
          </w:p>
        </w:tc>
        <w:tc>
          <w:tcPr>
            <w:tcW w:type="dxa" w:w="62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Característica</w:t>
            </w:r>
          </w:p>
        </w:tc>
      </w:tr>
      <w:tr>
        <w:trPr>
          <w:cantSplit/>
        </w:trPr>
        <w:tc>
          <w:tcPr>
            <w:tcW w:type="dxa" w:w="11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1</w:t>
            </w:r>
          </w:p>
        </w:tc>
        <w:tc>
          <w:tcPr>
            <w:tcW w:type="dxa" w:w="2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Baja</w:t>
            </w:r>
          </w:p>
        </w:tc>
        <w:tc>
          <w:tcPr>
            <w:tcW w:type="dxa" w:w="62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Muy pocas probabilidades de que ocurra; casi seguro que nunca ocurra.</w:t>
            </w:r>
          </w:p>
        </w:tc>
      </w:tr>
      <w:tr>
        <w:trPr>
          <w:cantSplit/>
        </w:trPr>
        <w:tc>
          <w:tcPr>
            <w:tcW w:type="dxa" w:w="11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2</w:t>
            </w:r>
          </w:p>
        </w:tc>
        <w:tc>
          <w:tcPr>
            <w:tcW w:type="dxa" w:w="2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Media</w:t>
            </w:r>
          </w:p>
        </w:tc>
        <w:tc>
          <w:tcPr>
            <w:tcW w:type="dxa" w:w="62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Hay la misma probabilidad de que ocurra como de que no.</w:t>
            </w:r>
          </w:p>
        </w:tc>
      </w:tr>
      <w:tr>
        <w:trPr>
          <w:cantSplit/>
        </w:trPr>
        <w:tc>
          <w:tcPr>
            <w:tcW w:type="dxa" w:w="11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Alta</w:t>
            </w:r>
          </w:p>
        </w:tc>
        <w:tc>
          <w:tcPr>
            <w:tcW w:type="dxa" w:w="62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Casi seguro de que puede ocurrir.</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100"/>
        <w:gridCol w:w="2000"/>
        <w:gridCol w:w="6260"/>
      </w:tblGrid>
      <w:tr>
        <w:trPr>
          <w:cantSplit/>
          <w:tblHeader/>
        </w:trPr>
        <w:tc>
          <w:tcPr>
            <w:tcW w:type="dxa" w:w="11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Valor</w:t>
            </w:r>
          </w:p>
        </w:tc>
        <w:tc>
          <w:tcPr>
            <w:tcW w:type="dxa" w:w="2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Impacto</w:t>
            </w:r>
          </w:p>
        </w:tc>
        <w:tc>
          <w:tcPr>
            <w:tcW w:type="dxa" w:w="62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Característica</w:t>
            </w:r>
          </w:p>
        </w:tc>
      </w:tr>
      <w:tr>
        <w:trPr>
          <w:cantSplit/>
        </w:trPr>
        <w:tc>
          <w:tcPr>
            <w:tcW w:type="dxa" w:w="11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1</w:t>
            </w:r>
          </w:p>
        </w:tc>
        <w:tc>
          <w:tcPr>
            <w:tcW w:type="dxa" w:w="2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Insignificante</w:t>
            </w:r>
          </w:p>
        </w:tc>
        <w:tc>
          <w:tcPr>
            <w:tcW w:type="dxa" w:w="62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Casi no afecta el logro de los objetivos de calidad.</w:t>
            </w:r>
          </w:p>
        </w:tc>
      </w:tr>
      <w:tr>
        <w:trPr>
          <w:cantSplit/>
        </w:trPr>
        <w:tc>
          <w:tcPr>
            <w:tcW w:type="dxa" w:w="11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2</w:t>
            </w:r>
          </w:p>
        </w:tc>
        <w:tc>
          <w:tcPr>
            <w:tcW w:type="dxa" w:w="2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Moderado</w:t>
            </w:r>
          </w:p>
        </w:tc>
        <w:tc>
          <w:tcPr>
            <w:tcW w:type="dxa" w:w="62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Afecta algún objetivo de calidad, pero es corregible a tiempo.</w:t>
            </w:r>
          </w:p>
        </w:tc>
      </w:tr>
      <w:tr>
        <w:trPr>
          <w:cantSplit/>
        </w:trPr>
        <w:tc>
          <w:tcPr>
            <w:tcW w:type="dxa" w:w="11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Dañino o catastrófico</w:t>
            </w:r>
          </w:p>
        </w:tc>
        <w:tc>
          <w:tcPr>
            <w:tcW w:type="dxa" w:w="62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Pone en riesgo el sistema, un informe o la reputación de la Firma.</w:t>
            </w:r>
          </w:p>
        </w:tc>
      </w:tr>
    </w:tbl>
    <w:p>
      <w:pPr>
        <w:spacing w:after="100"/>
      </w:pPr>
    </w:p>
    <w:p>
      <w:pPr>
        <w:keepNext/>
        <w:spacing w:after="60" w:line="264"/>
        <w:jc w:val="both"/>
      </w:pPr>
      <w:r>
        <w:rPr>
          <w:rFonts w:ascii="Arial" w:cs="Arial" w:eastAsia="Arial" w:hAnsi="Arial"/>
          <w:b/>
          <w:bCs/>
        </w:rPr>
        <w:t xml:space="preserve">Matriz de severidad (probabilidad × impacto)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360"/>
        <w:gridCol w:w="2000"/>
        <w:gridCol w:w="2000"/>
        <w:gridCol w:w="2000"/>
      </w:tblGrid>
      <w:tr>
        <w:trPr>
          <w:cantSplit/>
          <w:tblHeader/>
        </w:trPr>
        <w:tc>
          <w:tcPr>
            <w:tcW w:type="dxa" w:w="33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Impacto \ Probabilidad</w:t>
            </w:r>
          </w:p>
        </w:tc>
        <w:tc>
          <w:tcPr>
            <w:tcW w:type="dxa" w:w="2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1  Baja</w:t>
            </w:r>
          </w:p>
        </w:tc>
        <w:tc>
          <w:tcPr>
            <w:tcW w:type="dxa" w:w="2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2  Media</w:t>
            </w:r>
          </w:p>
        </w:tc>
        <w:tc>
          <w:tcPr>
            <w:tcW w:type="dxa" w:w="2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3  Alta</w:t>
            </w:r>
          </w:p>
        </w:tc>
      </w:tr>
      <w:tr>
        <w:trPr>
          <w:cantSplit/>
        </w:trPr>
        <w:tc>
          <w:tcPr>
            <w:tcW w:type="dxa" w:w="3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  Dañino o catastrófico</w:t>
            </w:r>
          </w:p>
        </w:tc>
        <w:tc>
          <w:tcPr>
            <w:tcW w:type="dxa" w:w="200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200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200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9</w:t>
            </w:r>
          </w:p>
        </w:tc>
      </w:tr>
      <w:tr>
        <w:trPr>
          <w:cantSplit/>
        </w:trPr>
        <w:tc>
          <w:tcPr>
            <w:tcW w:type="dxa" w:w="3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  Moderado</w:t>
            </w:r>
          </w:p>
        </w:tc>
        <w:tc>
          <w:tcPr>
            <w:tcW w:type="dxa" w:w="200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200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4</w:t>
            </w:r>
          </w:p>
        </w:tc>
        <w:tc>
          <w:tcPr>
            <w:tcW w:type="dxa" w:w="200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r>
      <w:tr>
        <w:trPr>
          <w:cantSplit/>
        </w:trPr>
        <w:tc>
          <w:tcPr>
            <w:tcW w:type="dxa" w:w="3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  Insignificante</w:t>
            </w:r>
          </w:p>
        </w:tc>
        <w:tc>
          <w:tcPr>
            <w:tcW w:type="dxa" w:w="200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200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200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700"/>
        <w:gridCol w:w="6160"/>
      </w:tblGrid>
      <w:tr>
        <w:trPr>
          <w:cantSplit/>
          <w:tblHeader/>
        </w:trPr>
        <w:tc>
          <w:tcPr>
            <w:tcW w:type="dxa" w:w="15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Color</w:t>
            </w:r>
          </w:p>
        </w:tc>
        <w:tc>
          <w:tcPr>
            <w:tcW w:type="dxa" w:w="17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Resultado</w:t>
            </w:r>
          </w:p>
        </w:tc>
        <w:tc>
          <w:tcPr>
            <w:tcW w:type="dxa" w:w="61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Qué se hace</w:t>
            </w:r>
          </w:p>
        </w:tc>
      </w:tr>
      <w:tr>
        <w:trPr>
          <w:cantSplit/>
        </w:trPr>
        <w:tc>
          <w:tcPr>
            <w:tcW w:type="dxa" w:w="15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Verde</w:t>
            </w:r>
          </w:p>
        </w:tc>
        <w:tc>
          <w:tcPr>
            <w:tcW w:type="dxa" w:w="1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1 a 2</w:t>
            </w:r>
          </w:p>
        </w:tc>
        <w:tc>
          <w:tcPr>
            <w:tcW w:type="dxa" w:w="6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both"/>
            </w:pPr>
            <w:r>
              <w:rPr>
                <w:rFonts w:ascii="Arial" w:cs="Arial" w:eastAsia="Arial" w:hAnsi="Arial"/>
              </w:rPr>
              <w:t xml:space="preserve">Riesgo aceptable: se mantiene la respuesta y se monitorea.</w:t>
            </w:r>
          </w:p>
        </w:tc>
      </w:tr>
      <w:tr>
        <w:trPr>
          <w:cantSplit/>
        </w:trPr>
        <w:tc>
          <w:tcPr>
            <w:tcW w:type="dxa" w:w="15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Amarillo</w:t>
            </w:r>
          </w:p>
        </w:tc>
        <w:tc>
          <w:tcPr>
            <w:tcW w:type="dxa" w:w="1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3 a 4</w:t>
            </w:r>
          </w:p>
        </w:tc>
        <w:tc>
          <w:tcPr>
            <w:tcW w:type="dxa" w:w="61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both"/>
            </w:pPr>
            <w:r>
              <w:rPr>
                <w:rFonts w:ascii="Arial" w:cs="Arial" w:eastAsia="Arial" w:hAnsi="Arial"/>
              </w:rPr>
              <w:t xml:space="preserve">Riesgo a atender: se diseña o refuerza una respuesta específica.</w:t>
            </w:r>
          </w:p>
        </w:tc>
      </w:tr>
      <w:tr>
        <w:trPr>
          <w:cantSplit/>
        </w:trPr>
        <w:tc>
          <w:tcPr>
            <w:tcW w:type="dxa" w:w="15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Rojo</w:t>
            </w:r>
          </w:p>
        </w:tc>
        <w:tc>
          <w:tcPr>
            <w:tcW w:type="dxa" w:w="1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6 a 9</w:t>
            </w:r>
          </w:p>
        </w:tc>
        <w:tc>
          <w:tcPr>
            <w:tcW w:type="dxa" w:w="61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Riesgo prioritario: respuesta inmediata y seguimiento del socio director.</w:t>
            </w:r>
          </w:p>
        </w:tc>
      </w:tr>
    </w:tbl>
    <w:p>
      <w:pPr>
        <w:spacing w:after="110" w:line="264"/>
        <w:jc w:val="both"/>
      </w:pPr>
      <w:r>
        <w:rPr>
          <w:rFonts w:ascii="Arial" w:cs="Arial" w:eastAsia="Arial" w:hAnsi="Arial"/>
          <w:b/>
          <w:bCs/>
        </w:rPr>
        <w:t xml:space="preserve">Ejemplo.</w:t>
      </w:r>
      <w:r>
        <w:rPr>
          <w:rFonts w:ascii="Arial" w:cs="Arial" w:eastAsia="Arial" w:hAnsi="Arial"/>
        </w:rPr>
        <w:t xml:space="preserve"> El personal nuevo no conoce los requerimientos de ética: probabilidad 3 (casi seguro, siempre entra personal nuevo) × impacto 1 (se corrige con inducción) = 3, amarillo. El liderazgo no demuestra compromiso con la calidad: probabilidad 3 × impacto 3 = 9, rojo.</w:t>
      </w:r>
    </w:p>
    <w:p>
      <w:pPr>
        <w:spacing w:after="110" w:line="264"/>
        <w:jc w:val="both"/>
      </w:pPr>
      <w:r>
        <w:rPr>
          <w:rFonts w:ascii="Arial" w:cs="Arial" w:eastAsia="Arial" w:hAnsi="Arial"/>
        </w:rPr>
        <w:t xml:space="preserve">Se valoran los seis componentes que tienen objetivos de calidad: gobierno y liderazgo, ética, aceptación y continuidad, realización de los encargos, recursos, e información y comunicación. La valoración de riesgos y el seguimiento son procesos y no tienen objetivos propios, por lo que no llevan tabla. La valoración sirve para decidir qué respuesta se diseña, pero no es el centro del sistema: por eso se ubica al final de cada componente, después de los objetivos y las políticas.</w:t>
      </w:r>
    </w:p>
    <w:p>
      <w:pPr>
        <w:spacing w:after="110" w:line="264"/>
        <w:jc w:val="both"/>
      </w:pPr>
      <w:r>
        <w:rPr>
          <w:rFonts w:ascii="Arial" w:cs="Arial" w:eastAsia="Arial" w:hAnsi="Arial"/>
        </w:rPr>
        <w:t xml:space="preserve">La matriz con ejemplos por objetivo de calidad está en el </w:t>
      </w:r>
      <w:r>
        <w:rPr>
          <w:rFonts w:ascii="Arial" w:cs="Arial" w:eastAsia="Arial" w:hAnsi="Arial"/>
          <w:b/>
          <w:bCs/>
        </w:rPr>
        <w:t xml:space="preserve">PT-CALIDAD-01</w:t>
      </w:r>
      <w:r>
        <w:rPr>
          <w:rFonts w:ascii="Arial" w:cs="Arial" w:eastAsia="Arial" w:hAnsi="Arial"/>
        </w:rPr>
        <w:t xml:space="preserve"> (Anexo I). Una forma efectiva de identificar riesgos es cuestionarse de forma constante: ¿qué hago?, ¿cómo lo hago?, ¿lo hago bien? El </w:t>
      </w:r>
      <w:r>
        <w:rPr>
          <w:rFonts w:ascii="Arial" w:cs="Arial" w:eastAsia="Arial" w:hAnsi="Arial"/>
          <w:b/>
          <w:bCs/>
        </w:rPr>
        <w:t xml:space="preserve">PT-CALIDAD-02</w:t>
      </w:r>
      <w:r>
        <w:rPr>
          <w:rFonts w:ascii="Arial" w:cs="Arial" w:eastAsia="Arial" w:hAnsi="Arial"/>
        </w:rPr>
        <w:t xml:space="preserve"> (Anexo II) es una guía de preguntas para ese fin. Revisamos la valoración al menos una vez al año y cuando el seguimiento, una queja o un cambio normativo lo exijan.</w:t>
      </w:r>
    </w:p>
    <w:p>
      <w:pPr>
        <w:spacing w:after="110" w:line="264"/>
        <w:jc w:val="both"/>
      </w:pPr>
      <w:r>
        <w:rPr>
          <w:rFonts w:ascii="Arial" w:cs="Arial" w:eastAsia="Arial" w:hAnsi="Arial"/>
          <w:b/>
          <w:bCs/>
        </w:rPr>
        <w:t xml:space="preserve">Persona natural:</w:t>
      </w:r>
      <w:r>
        <w:rPr>
          <w:rFonts w:ascii="Arial" w:cs="Arial" w:eastAsia="Arial" w:hAnsi="Arial"/>
        </w:rPr>
        <w:t xml:space="preserve"> con pocos encargos, la matriz puede ser corta: valore los riesgos que realmente le aplican (por ejemplo, independencia, capacidad para atender los encargos y revisión de calidad sin un colega interno).</w:t>
      </w:r>
    </w:p>
    <w:p>
      <w:pPr>
        <w:pStyle w:val="Heading1"/>
        <w:keepNext/>
      </w:pPr>
      <w:r>
        <w:rPr>
          <w:rFonts w:ascii="Arial" w:cs="Arial" w:eastAsia="Arial" w:hAnsi="Arial"/>
        </w:rPr>
        <w:t xml:space="preserve">2. Gobierno y liderazgo</w:t>
      </w:r>
    </w:p>
    <w:p>
      <w:pPr>
        <w:spacing w:after="110" w:line="264"/>
        <w:jc w:val="both"/>
      </w:pPr>
      <w:r>
        <w:rPr>
          <w:rFonts w:ascii="Arial" w:cs="Arial" w:eastAsia="Arial" w:hAnsi="Arial"/>
        </w:rPr>
        <w:t xml:space="preserve">La responsabilidad final y la rendición de cuentas del sistema recaen en el socio director. La responsabilidad operativa recae en </w:t>
      </w:r>
      <w:r>
        <w:rPr>
          <w:rFonts w:ascii="Arial" w:cs="Arial" w:eastAsia="Arial" w:hAnsi="Arial"/>
          <w:color w:val="8A6A00"/>
          <w:shd w:fill="FFF4CC" w:color="auto" w:val="clear"/>
        </w:rPr>
        <w:t xml:space="preserve">[Escriba nombre y cargo]</w:t>
      </w:r>
      <w:r>
        <w:rPr>
          <w:rFonts w:ascii="Arial" w:cs="Arial" w:eastAsia="Arial" w:hAnsi="Arial"/>
        </w:rPr>
        <w:t xml:space="preserve">. Delegar tareas es posible; delegar la responsabilidad, no. Los socios son responsables de las decisiones clave y de promover una cultura de calidad entre todos los miembros de la Firma.</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Demostrar un compromiso con la calidad mediante una cultura que reconoce la función de servir al interés público, la ética, los valores y la responsabilidad de todo el personal.</w:t>
      </w:r>
    </w:p>
    <w:p>
      <w:pPr>
        <w:pStyle w:val="ListParagraph"/>
        <w:numPr>
          <w:ilvl w:val="0"/>
          <w:numId w:val="3"/>
        </w:numPr>
        <w:spacing w:after="60" w:line="260"/>
        <w:jc w:val="both"/>
      </w:pPr>
      <w:r>
        <w:rPr>
          <w:rFonts w:ascii="Arial" w:cs="Arial" w:eastAsia="Arial" w:hAnsi="Arial"/>
        </w:rPr>
        <w:t xml:space="preserve">Responsabilizar a los líderes por la calidad, y que la demuestren con sus acciones y comportamiento.</w:t>
      </w:r>
    </w:p>
    <w:p>
      <w:pPr>
        <w:pStyle w:val="ListParagraph"/>
        <w:numPr>
          <w:ilvl w:val="0"/>
          <w:numId w:val="3"/>
        </w:numPr>
        <w:spacing w:after="60" w:line="260"/>
        <w:jc w:val="both"/>
      </w:pPr>
      <w:r>
        <w:rPr>
          <w:rFonts w:ascii="Arial" w:cs="Arial" w:eastAsia="Arial" w:hAnsi="Arial"/>
        </w:rPr>
        <w:t xml:space="preserve">Contar con una estructura organizacional y asignación de funciones y autoridad adecuadas para operar el sistema.</w:t>
      </w:r>
    </w:p>
    <w:p>
      <w:pPr>
        <w:pStyle w:val="ListParagraph"/>
        <w:numPr>
          <w:ilvl w:val="0"/>
          <w:numId w:val="3"/>
        </w:numPr>
        <w:spacing w:after="140" w:line="260"/>
        <w:jc w:val="both"/>
      </w:pPr>
      <w:r>
        <w:rPr>
          <w:rFonts w:ascii="Arial" w:cs="Arial" w:eastAsia="Arial" w:hAnsi="Arial"/>
        </w:rPr>
        <w:t xml:space="preserve">Planificar y asignar los recursos, incluidos los financieros, de forma consistente con el compromiso de calidad.</w:t>
      </w:r>
    </w:p>
    <w:p>
      <w:pPr>
        <w:pStyle w:val="Heading2"/>
        <w:keepNext/>
      </w:pPr>
      <w:r>
        <w:rPr>
          <w:rFonts w:ascii="Arial" w:cs="Arial" w:eastAsia="Arial" w:hAnsi="Arial"/>
        </w:rPr>
        <w:t xml:space="preserve">Compromisos de los socios</w:t>
      </w:r>
    </w:p>
    <w:p>
      <w:pPr>
        <w:pStyle w:val="ListParagraph"/>
        <w:numPr>
          <w:ilvl w:val="0"/>
          <w:numId w:val="3"/>
        </w:numPr>
        <w:spacing w:after="60" w:line="260"/>
        <w:jc w:val="both"/>
      </w:pPr>
      <w:r>
        <w:rPr>
          <w:rFonts w:ascii="Arial" w:cs="Arial" w:eastAsia="Arial" w:hAnsi="Arial"/>
        </w:rPr>
        <w:t xml:space="preserve">Mantener actualizado este manual y desarrollar programas de capacitación de forma permanente.</w:t>
      </w:r>
    </w:p>
    <w:p>
      <w:pPr>
        <w:pStyle w:val="ListParagraph"/>
        <w:numPr>
          <w:ilvl w:val="0"/>
          <w:numId w:val="3"/>
        </w:numPr>
        <w:spacing w:after="60" w:line="260"/>
        <w:jc w:val="both"/>
      </w:pPr>
      <w:r>
        <w:rPr>
          <w:rFonts w:ascii="Arial" w:cs="Arial" w:eastAsia="Arial" w:hAnsi="Arial"/>
        </w:rPr>
        <w:t xml:space="preserve">Designar al responsable del sistema, con conocimientos, experiencia, juicio y capacidad de liderazgo.</w:t>
      </w:r>
    </w:p>
    <w:p>
      <w:pPr>
        <w:pStyle w:val="ListParagraph"/>
        <w:numPr>
          <w:ilvl w:val="0"/>
          <w:numId w:val="3"/>
        </w:numPr>
        <w:spacing w:after="60" w:line="260"/>
        <w:jc w:val="both"/>
      </w:pPr>
      <w:r>
        <w:rPr>
          <w:rFonts w:ascii="Arial" w:cs="Arial" w:eastAsia="Arial" w:hAnsi="Arial"/>
        </w:rPr>
        <w:t xml:space="preserve">Respetar las normas internacionales y las normas locales aplicables.</w:t>
      </w:r>
    </w:p>
    <w:p>
      <w:pPr>
        <w:pStyle w:val="ListParagraph"/>
        <w:numPr>
          <w:ilvl w:val="0"/>
          <w:numId w:val="3"/>
        </w:numPr>
        <w:spacing w:after="140" w:line="260"/>
        <w:jc w:val="both"/>
      </w:pPr>
      <w:r>
        <w:rPr>
          <w:rFonts w:ascii="Arial" w:cs="Arial" w:eastAsia="Arial" w:hAnsi="Arial"/>
        </w:rPr>
        <w:t xml:space="preserve">Firmar cada año la declaración de compromiso con la calidad (</w:t>
      </w:r>
      <w:r>
        <w:rPr>
          <w:rFonts w:ascii="Arial" w:cs="Arial" w:eastAsia="Arial" w:hAnsi="Arial"/>
          <w:b/>
          <w:bCs/>
        </w:rPr>
        <w:t xml:space="preserve">PT-CALIDAD-03</w:t>
      </w:r>
      <w:r>
        <w:rPr>
          <w:rFonts w:ascii="Arial" w:cs="Arial" w:eastAsia="Arial" w:hAnsi="Arial"/>
        </w:rPr>
        <w:t xml:space="preserve">, Anexo III).</w:t>
      </w:r>
    </w:p>
    <w:p>
      <w:pPr>
        <w:spacing w:after="110" w:line="264"/>
        <w:jc w:val="both"/>
      </w:pPr>
      <w:r>
        <w:rPr>
          <w:rFonts w:ascii="Arial" w:cs="Arial" w:eastAsia="Arial" w:hAnsi="Arial"/>
        </w:rPr>
        <w:t xml:space="preserve">La cultura de calidad se difunde con charlas, mensajes, boletines, material de formación, evaluaciones, memorandos, seminarios y cursos. Los intereses comerciales no se ubican por encima de la calidad de los encargos, y se asignan recursos suficientes para respaldar el sistema.</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Las políticas y procedimientos se documentan y los socios dejan evidencia de su compromiso.</w:t>
      </w:r>
    </w:p>
    <w:p>
      <w:pPr>
        <w:pStyle w:val="ListParagraph"/>
        <w:numPr>
          <w:ilvl w:val="0"/>
          <w:numId w:val="3"/>
        </w:numPr>
        <w:spacing w:after="60" w:line="260"/>
        <w:jc w:val="both"/>
      </w:pPr>
      <w:r>
        <w:rPr>
          <w:rFonts w:ascii="Arial" w:cs="Arial" w:eastAsia="Arial" w:hAnsi="Arial"/>
        </w:rPr>
        <w:t xml:space="preserve">El socio responsable de cada encargo asume la responsabilidad global de su calidad, con independencia del revisor de calidad.</w:t>
      </w:r>
    </w:p>
    <w:p>
      <w:pPr>
        <w:pStyle w:val="ListParagraph"/>
        <w:numPr>
          <w:ilvl w:val="0"/>
          <w:numId w:val="3"/>
        </w:numPr>
        <w:spacing w:after="60" w:line="260"/>
        <w:jc w:val="both"/>
      </w:pPr>
      <w:r>
        <w:rPr>
          <w:rFonts w:ascii="Arial" w:cs="Arial" w:eastAsia="Arial" w:hAnsi="Arial"/>
        </w:rPr>
        <w:t xml:space="preserve">Cada año los socios firman la declaración de compromiso.</w:t>
      </w:r>
    </w:p>
    <w:p>
      <w:pPr>
        <w:pStyle w:val="ListParagraph"/>
        <w:numPr>
          <w:ilvl w:val="0"/>
          <w:numId w:val="3"/>
        </w:numPr>
        <w:spacing w:after="60" w:line="260"/>
        <w:jc w:val="both"/>
      </w:pPr>
      <w:r>
        <w:rPr>
          <w:rFonts w:ascii="Arial" w:cs="Arial" w:eastAsia="Arial" w:hAnsi="Arial"/>
        </w:rPr>
        <w:t xml:space="preserve">El manual se entrega en formato digital a quienes realicen o colaboren en encargos, y queda disponible para consulta.</w:t>
      </w:r>
    </w:p>
    <w:p>
      <w:pPr>
        <w:pStyle w:val="ListParagraph"/>
        <w:numPr>
          <w:ilvl w:val="0"/>
          <w:numId w:val="3"/>
        </w:numPr>
        <w:spacing w:after="60" w:line="260"/>
        <w:jc w:val="both"/>
      </w:pPr>
      <w:r>
        <w:rPr>
          <w:rFonts w:ascii="Arial" w:cs="Arial" w:eastAsia="Arial" w:hAnsi="Arial"/>
        </w:rPr>
        <w:t xml:space="preserve">La Firma evalúa la satisfacción de sus clientes con la calidad de los servicios.</w:t>
      </w:r>
    </w:p>
    <w:p>
      <w:pPr>
        <w:pStyle w:val="ListParagraph"/>
        <w:numPr>
          <w:ilvl w:val="0"/>
          <w:numId w:val="3"/>
        </w:numPr>
        <w:spacing w:after="140" w:line="260"/>
        <w:jc w:val="both"/>
      </w:pPr>
      <w:r>
        <w:rPr>
          <w:rFonts w:ascii="Arial" w:cs="Arial" w:eastAsia="Arial" w:hAnsi="Arial"/>
        </w:rPr>
        <w:t xml:space="preserve">La Firma mantiene un organigrama actualizado: </w:t>
      </w:r>
      <w:r>
        <w:rPr>
          <w:rFonts w:ascii="Arial" w:cs="Arial" w:eastAsia="Arial" w:hAnsi="Arial"/>
          <w:color w:val="8A6A00"/>
          <w:shd w:fill="FFF4CC" w:color="auto" w:val="clear"/>
        </w:rPr>
        <w:t xml:space="preserve">[Inserte o describa el organigrama; persona natural: indique sus colaboradores y expertos de apoyo, si los tiene]</w:t>
      </w:r>
      <w:r>
        <w:rPr>
          <w:rFonts w:ascii="Arial" w:cs="Arial" w:eastAsia="Arial" w:hAnsi="Arial"/>
        </w:rPr>
        <w:t xml:space="preserve">.</w:t>
      </w:r>
    </w:p>
    <w:p>
      <w:pPr>
        <w:pStyle w:val="Heading2"/>
        <w:keepNext/>
      </w:pPr>
      <w:r>
        <w:rPr>
          <w:rFonts w:ascii="Arial" w:cs="Arial" w:eastAsia="Arial" w:hAnsi="Arial"/>
        </w:rPr>
        <w:t xml:space="preserve">Identificación y valoración del riesgo de calidad y respuesta al riesgo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liderazgo falla en demostrar compromiso con la calidad con sus acciones y comportamientos.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9</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socio director vigila que se mantenga la cultura de calidad, informa en reuniones periódicas y cada persona indica cómo aporta a ella.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existe una estructura organizacional ni una segregación de funciones adecuada para operar el sistema.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revisa el organigrama cada año y se ajusta a las exigencias de la Firma.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presupuestan los recursos humanos, tecnológicos, intelectuales, de servicios y financieros de los encargos.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socio director y los responsables de cada recurso se reúnen cada año para presupuestar las necesidades, evaluar si se cubren con personal propio y decidir cómo obtenerlas.</w:t>
            </w:r>
          </w:p>
        </w:tc>
      </w:tr>
    </w:tbl>
    <w:p>
      <w:pPr>
        <w:spacing w:after="100" w:line="264"/>
        <w:jc w:val="both"/>
      </w:pPr>
      <w:r>
        <w:rPr>
          <w:rFonts w:ascii="Arial" w:cs="Arial" w:eastAsia="Arial" w:hAnsi="Arial"/>
          <w:color w:val="8A6A00"/>
          <w:shd w:fill="FFF4CC" w:color="auto" w:val="clear"/>
        </w:rPr>
        <w:t xml:space="preserve">[Persona natural: adapte las respuestas a su práctica; donde dice socio director o responsable, lea “yo”. Mínimo deje dos riesgos por componente y agregue los suyos.]</w:t>
      </w:r>
    </w:p>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3. Requerimientos de ética aplicables</w:t>
      </w:r>
    </w:p>
    <w:p>
      <w:pPr>
        <w:spacing w:after="110" w:line="264"/>
        <w:jc w:val="both"/>
      </w:pPr>
      <w:r>
        <w:rPr>
          <w:rFonts w:ascii="Arial" w:cs="Arial" w:eastAsia="Arial" w:hAnsi="Arial"/>
        </w:rPr>
        <w:t xml:space="preserve">La Firma aplica el Código de Ética para Profesionales de la Contabilidad del IESBA, adoptado en Colombia mediante el Decreto 2420 de 2015 (Anexo 4), y la Ley 43 de 1990. Los principios fundamentales son integridad, objetividad, competencia y diligencia profesionales, confidencialidad y comportamiento profesional. El desarrollo detallado está en el Código de ética de la Firma (</w:t>
      </w:r>
      <w:r>
        <w:rPr>
          <w:rFonts w:ascii="Arial" w:cs="Arial" w:eastAsia="Arial" w:hAnsi="Arial"/>
          <w:b/>
          <w:bCs/>
        </w:rPr>
        <w:t xml:space="preserve">PT-ETICA-00</w:t>
      </w:r>
      <w:r>
        <w:rPr>
          <w:rFonts w:ascii="Arial" w:cs="Arial" w:eastAsia="Arial" w:hAnsi="Arial"/>
        </w:rPr>
        <w:t xml:space="preserve">); aquí se resume lo que exige la NIGC 1.</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Que la Firma y su personal conozcan y cumplan los requerimientos de ética aplicables.</w:t>
      </w:r>
    </w:p>
    <w:p>
      <w:pPr>
        <w:pStyle w:val="ListParagraph"/>
        <w:numPr>
          <w:ilvl w:val="0"/>
          <w:numId w:val="3"/>
        </w:numPr>
        <w:spacing w:after="140" w:line="260"/>
        <w:jc w:val="both"/>
      </w:pPr>
      <w:r>
        <w:rPr>
          <w:rFonts w:ascii="Arial" w:cs="Arial" w:eastAsia="Arial" w:hAnsi="Arial"/>
        </w:rPr>
        <w:t xml:space="preserve">Que los proveedores de servicios sujetos a esos requerimientos los conozcan y los cumplan.</w:t>
      </w:r>
    </w:p>
    <w:p>
      <w:pPr>
        <w:pStyle w:val="Heading2"/>
        <w:keepNext/>
      </w:pPr>
      <w:r>
        <w:rPr>
          <w:rFonts w:ascii="Arial" w:cs="Arial" w:eastAsia="Arial" w:hAnsi="Arial"/>
        </w:rPr>
        <w:t xml:space="preserve">Confidencialidad</w:t>
      </w:r>
    </w:p>
    <w:p>
      <w:pPr>
        <w:spacing w:after="110" w:line="264"/>
        <w:jc w:val="both"/>
      </w:pPr>
      <w:r>
        <w:rPr>
          <w:rFonts w:ascii="Arial" w:cs="Arial" w:eastAsia="Arial" w:hAnsi="Arial"/>
        </w:rPr>
        <w:t xml:space="preserve">Todo miembro firma al ingresar y cada año la declaración de confidencialidad (</w:t>
      </w:r>
      <w:r>
        <w:rPr>
          <w:rFonts w:ascii="Arial" w:cs="Arial" w:eastAsia="Arial" w:hAnsi="Arial"/>
          <w:b/>
          <w:bCs/>
        </w:rPr>
        <w:t xml:space="preserve">PT-CALIDAD-04</w:t>
      </w:r>
      <w:r>
        <w:rPr>
          <w:rFonts w:ascii="Arial" w:cs="Arial" w:eastAsia="Arial" w:hAnsi="Arial"/>
        </w:rPr>
        <w:t xml:space="preserve">, Anexo IV; ver también PT-ETICA-07). La información de los clientes solo se divulga con autorización escrita y específica, o por mandato legal o profesional. Se tratan los datos personales según la Ley 1581 de 2012.</w:t>
      </w:r>
    </w:p>
    <w:p>
      <w:pPr>
        <w:pStyle w:val="Heading2"/>
        <w:keepNext/>
      </w:pPr>
      <w:r>
        <w:rPr>
          <w:rFonts w:ascii="Arial" w:cs="Arial" w:eastAsia="Arial" w:hAnsi="Arial"/>
        </w:rPr>
        <w:t xml:space="preserve">Independencia</w:t>
      </w:r>
    </w:p>
    <w:p>
      <w:pPr>
        <w:spacing w:after="110" w:line="264"/>
        <w:jc w:val="both"/>
      </w:pPr>
      <w:r>
        <w:rPr>
          <w:rFonts w:ascii="Arial" w:cs="Arial" w:eastAsia="Arial" w:hAnsi="Arial"/>
        </w:rPr>
        <w:t xml:space="preserve">La independencia se mantiene durante todo el encargo. Cada miembro firma al ingresar y cada año la declaración de independencia (</w:t>
      </w:r>
      <w:r>
        <w:rPr>
          <w:rFonts w:ascii="Arial" w:cs="Arial" w:eastAsia="Arial" w:hAnsi="Arial"/>
          <w:b/>
          <w:bCs/>
        </w:rPr>
        <w:t xml:space="preserve">PT-CALIDAD-05</w:t>
      </w:r>
      <w:r>
        <w:rPr>
          <w:rFonts w:ascii="Arial" w:cs="Arial" w:eastAsia="Arial" w:hAnsi="Arial"/>
        </w:rPr>
        <w:t xml:space="preserve">, Anexo V; ver también PT-ETICA-01), después de revisar la lista actualizada de clientes. Las amenazas más comunes son la familiaridad, la permanencia prolongada del equipo, el interés económico directo, las presiones y la defensa de la posición del cliente. Toda amenaza se documenta y se mitiga con salvaguardas (PT-ETICA-02); si no existen salvaguardas efectivas, la Firma no acepta el encargo o renuncia a él. Si la amenaza proviene del socio director, decide el revisor de calidad.</w:t>
      </w:r>
    </w:p>
    <w:p>
      <w:pPr>
        <w:pStyle w:val="Heading2"/>
        <w:keepNext/>
      </w:pPr>
      <w:r>
        <w:rPr>
          <w:rFonts w:ascii="Arial" w:cs="Arial" w:eastAsia="Arial" w:hAnsi="Arial"/>
        </w:rPr>
        <w:t xml:space="preserve">Otros asuntos éticos</w:t>
      </w:r>
    </w:p>
    <w:p>
      <w:pPr>
        <w:pStyle w:val="ListParagraph"/>
        <w:numPr>
          <w:ilvl w:val="0"/>
          <w:numId w:val="3"/>
        </w:numPr>
        <w:spacing w:after="60" w:line="260"/>
        <w:jc w:val="both"/>
      </w:pPr>
      <w:r>
        <w:rPr>
          <w:rFonts w:ascii="Arial" w:cs="Arial" w:eastAsia="Arial" w:hAnsi="Arial"/>
          <w:b/>
          <w:bCs/>
        </w:rPr>
        <w:t xml:space="preserve">Diferencias de opinión:</w:t>
      </w:r>
      <w:r>
        <w:rPr>
          <w:rFonts w:ascii="Arial" w:cs="Arial" w:eastAsia="Arial" w:hAnsi="Arial"/>
        </w:rPr>
        <w:t xml:space="preserve"> se documentan y se resuelven antes del informe. Se presentan al socio director con su soporte; si él es parte, decide el revisor de calidad con la opinión de otro socio o miembro que no participe.</w:t>
      </w:r>
    </w:p>
    <w:p>
      <w:pPr>
        <w:pStyle w:val="ListParagraph"/>
        <w:numPr>
          <w:ilvl w:val="0"/>
          <w:numId w:val="3"/>
        </w:numPr>
        <w:spacing w:after="60" w:line="260"/>
        <w:jc w:val="both"/>
      </w:pPr>
      <w:r>
        <w:rPr>
          <w:rFonts w:ascii="Arial" w:cs="Arial" w:eastAsia="Arial" w:hAnsi="Arial"/>
          <w:b/>
          <w:bCs/>
        </w:rPr>
        <w:t xml:space="preserve">Mercadeo de servicios:</w:t>
      </w:r>
      <w:r>
        <w:rPr>
          <w:rFonts w:ascii="Arial" w:cs="Arial" w:eastAsia="Arial" w:hAnsi="Arial"/>
        </w:rPr>
        <w:t xml:space="preserve"> sin autoelogio ni comparaciones con colegas.</w:t>
      </w:r>
    </w:p>
    <w:p>
      <w:pPr>
        <w:pStyle w:val="ListParagraph"/>
        <w:numPr>
          <w:ilvl w:val="0"/>
          <w:numId w:val="3"/>
        </w:numPr>
        <w:spacing w:after="60" w:line="260"/>
        <w:jc w:val="both"/>
      </w:pPr>
      <w:r>
        <w:rPr>
          <w:rFonts w:ascii="Arial" w:cs="Arial" w:eastAsia="Arial" w:hAnsi="Arial"/>
          <w:b/>
          <w:bCs/>
        </w:rPr>
        <w:t xml:space="preserve">Activos de clientes:</w:t>
      </w:r>
      <w:r>
        <w:rPr>
          <w:rFonts w:ascii="Arial" w:cs="Arial" w:eastAsia="Arial" w:hAnsi="Arial"/>
        </w:rPr>
        <w:t xml:space="preserve"> la Firma no custodia dinero ni bienes de clientes. Al aceptar un cliente se indaga el origen de sus activos para prevenir el lavado de activos.</w:t>
      </w:r>
    </w:p>
    <w:p>
      <w:pPr>
        <w:pStyle w:val="ListParagraph"/>
        <w:numPr>
          <w:ilvl w:val="0"/>
          <w:numId w:val="3"/>
        </w:numPr>
        <w:spacing w:after="140" w:line="260"/>
        <w:jc w:val="both"/>
      </w:pPr>
      <w:r>
        <w:rPr>
          <w:rFonts w:ascii="Arial" w:cs="Arial" w:eastAsia="Arial" w:hAnsi="Arial"/>
          <w:b/>
          <w:bCs/>
        </w:rPr>
        <w:t xml:space="preserve">Honorarios:</w:t>
      </w:r>
      <w:r>
        <w:rPr>
          <w:rFonts w:ascii="Arial" w:cs="Arial" w:eastAsia="Arial" w:hAnsi="Arial"/>
        </w:rPr>
        <w:t xml:space="preserve"> no deben ser tan bajos que pongan en riesgo la calidad. Se estima el tiempo por área y por tipo de profesional, y se firma una carta de compromiso con el cliente.</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El personal maneja con estricta confidencialidad la información interna y externa, y no la entrega a terceros ni a otras firmas sin autorización escrita.</w:t>
      </w:r>
    </w:p>
    <w:p>
      <w:pPr>
        <w:pStyle w:val="ListParagraph"/>
        <w:numPr>
          <w:ilvl w:val="0"/>
          <w:numId w:val="3"/>
        </w:numPr>
        <w:spacing w:after="60" w:line="260"/>
        <w:jc w:val="both"/>
      </w:pPr>
      <w:r>
        <w:rPr>
          <w:rFonts w:ascii="Arial" w:cs="Arial" w:eastAsia="Arial" w:hAnsi="Arial"/>
        </w:rPr>
        <w:t xml:space="preserve">El personal informa por escrito y a tiempo cuando su independencia se ve comprometida.</w:t>
      </w:r>
    </w:p>
    <w:p>
      <w:pPr>
        <w:pStyle w:val="ListParagraph"/>
        <w:numPr>
          <w:ilvl w:val="0"/>
          <w:numId w:val="3"/>
        </w:numPr>
        <w:spacing w:after="60" w:line="260"/>
        <w:jc w:val="both"/>
      </w:pPr>
      <w:r>
        <w:rPr>
          <w:rFonts w:ascii="Arial" w:cs="Arial" w:eastAsia="Arial" w:hAnsi="Arial"/>
        </w:rPr>
        <w:t xml:space="preserve">El Código de Ética del IESBA está disponible para consulta.</w:t>
      </w:r>
    </w:p>
    <w:p>
      <w:pPr>
        <w:pStyle w:val="ListParagraph"/>
        <w:numPr>
          <w:ilvl w:val="0"/>
          <w:numId w:val="3"/>
        </w:numPr>
        <w:spacing w:after="60" w:line="260"/>
        <w:jc w:val="both"/>
      </w:pPr>
      <w:r>
        <w:rPr>
          <w:rFonts w:ascii="Arial" w:cs="Arial" w:eastAsia="Arial" w:hAnsi="Arial"/>
        </w:rPr>
        <w:t xml:space="preserve">Toda solicitud de información se hace por escrito.</w:t>
      </w:r>
    </w:p>
    <w:p>
      <w:pPr>
        <w:pStyle w:val="ListParagraph"/>
        <w:numPr>
          <w:ilvl w:val="0"/>
          <w:numId w:val="3"/>
        </w:numPr>
        <w:spacing w:after="60" w:line="260"/>
        <w:jc w:val="both"/>
      </w:pPr>
      <w:r>
        <w:rPr>
          <w:rFonts w:ascii="Arial" w:cs="Arial" w:eastAsia="Arial" w:hAnsi="Arial"/>
        </w:rPr>
        <w:t xml:space="preserve">Antes de firmar un informe, los socios confirman que existe documentación soporte.</w:t>
      </w:r>
    </w:p>
    <w:p>
      <w:pPr>
        <w:pStyle w:val="ListParagraph"/>
        <w:numPr>
          <w:ilvl w:val="0"/>
          <w:numId w:val="3"/>
        </w:numPr>
        <w:spacing w:after="140" w:line="260"/>
        <w:jc w:val="both"/>
      </w:pPr>
      <w:r>
        <w:rPr>
          <w:rFonts w:ascii="Arial" w:cs="Arial" w:eastAsia="Arial" w:hAnsi="Arial"/>
        </w:rPr>
        <w:t xml:space="preserve">Se consulta internamente y con asesores legales cuando no hay salvaguardas efectivas.</w:t>
      </w:r>
    </w:p>
    <w:p>
      <w:pPr>
        <w:pStyle w:val="Heading2"/>
        <w:keepNext/>
      </w:pPr>
      <w:r>
        <w:rPr>
          <w:rFonts w:ascii="Arial" w:cs="Arial" w:eastAsia="Arial" w:hAnsi="Arial"/>
        </w:rPr>
        <w:t xml:space="preserve">Identificación y valoración del riesgo de calidad y respuesta al riesgo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personal nuevo asignado a los encargos no conoce los requerimientos de ética aplicables.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le entrega el Código del IESBA y el Código de ética de la Firma, y se le explica y evalúa su aplicación.</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personal nuevo no cumple los requerimientos de ética y los responsables no revisan su cumplimiento.</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responsables del encargo verifican el cumplimiento de ética del equipo como parte de su revisión.</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proveedores de servicios no ponen en práctica los requerimientos de ética aunque se les comuniquen.</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Hay más de un proveedor disponible y, antes del servicio, se acuerda por escrito el cumplimiento de la ética.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responsables del encargo no se aseguran de que los proveedores cumplan sus responsabilidades de ética.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responsables verifican ese cumplimiento como parte de la revisión del encargo.</w:t>
            </w:r>
          </w:p>
        </w:tc>
      </w:tr>
    </w:tbl>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4. Aceptación y continuidad de las relaciones con clientes y de encargos específicos</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Que los juicios sobre aceptar o continuar una relación sean adecuados según la información obtenida sobre la naturaleza del encargo y la integridad y valores éticos del cliente.</w:t>
      </w:r>
    </w:p>
    <w:p>
      <w:pPr>
        <w:pStyle w:val="ListParagraph"/>
        <w:numPr>
          <w:ilvl w:val="0"/>
          <w:numId w:val="3"/>
        </w:numPr>
        <w:spacing w:after="60" w:line="260"/>
        <w:jc w:val="both"/>
      </w:pPr>
      <w:r>
        <w:rPr>
          <w:rFonts w:ascii="Arial" w:cs="Arial" w:eastAsia="Arial" w:hAnsi="Arial"/>
        </w:rPr>
        <w:t xml:space="preserve">Que esos juicios consideren la capacidad de la Firma para realizar el encargo conforme a las normas profesionales y legales.</w:t>
      </w:r>
    </w:p>
    <w:p>
      <w:pPr>
        <w:pStyle w:val="ListParagraph"/>
        <w:numPr>
          <w:ilvl w:val="0"/>
          <w:numId w:val="3"/>
        </w:numPr>
        <w:spacing w:after="140" w:line="260"/>
        <w:jc w:val="both"/>
      </w:pPr>
      <w:r>
        <w:rPr>
          <w:rFonts w:ascii="Arial" w:cs="Arial" w:eastAsia="Arial" w:hAnsi="Arial"/>
        </w:rPr>
        <w:t xml:space="preserve">Que las prioridades financieras y operativas de la Firma no conduzcan a juicios inadecuados.</w:t>
      </w:r>
    </w:p>
    <w:p>
      <w:pPr>
        <w:pStyle w:val="Heading2"/>
        <w:keepNext/>
      </w:pPr>
      <w:r>
        <w:rPr>
          <w:rFonts w:ascii="Arial" w:cs="Arial" w:eastAsia="Arial" w:hAnsi="Arial"/>
        </w:rPr>
        <w:t xml:space="preserve">Evaluación interna</w:t>
      </w:r>
    </w:p>
    <w:p>
      <w:pPr>
        <w:spacing w:after="110" w:line="264"/>
        <w:jc w:val="both"/>
      </w:pPr>
      <w:r>
        <w:rPr>
          <w:rFonts w:ascii="Arial" w:cs="Arial" w:eastAsia="Arial" w:hAnsi="Arial"/>
        </w:rPr>
        <w:t xml:space="preserve">Antes de aceptar o continuar, la Firma evalúa su disponibilidad, conocimientos, experiencia con clientes similares y la posibilidad de contratar expertos. Si no tiene experiencia en el encargo ni puede apoyarse en alguien que la tenga, no lo acepta. Si no es experta en el sector pero puede integrar expertos y cumplir la ética y la normativa, puede evaluarlo.</w:t>
      </w:r>
    </w:p>
    <w:p>
      <w:pPr>
        <w:pStyle w:val="Heading2"/>
        <w:keepNext/>
      </w:pPr>
      <w:r>
        <w:rPr>
          <w:rFonts w:ascii="Arial" w:cs="Arial" w:eastAsia="Arial" w:hAnsi="Arial"/>
        </w:rPr>
        <w:t xml:space="preserve">Aceptación de clientes por primera vez</w:t>
      </w:r>
    </w:p>
    <w:p>
      <w:pPr>
        <w:spacing w:after="110" w:line="264"/>
        <w:jc w:val="both"/>
      </w:pPr>
      <w:r>
        <w:rPr>
          <w:rFonts w:ascii="Arial" w:cs="Arial" w:eastAsia="Arial" w:hAnsi="Arial"/>
        </w:rPr>
        <w:t xml:space="preserve">Se hace la debida diligencia: antecedentes legales y reputacionales del cliente, sus socios y directivos; origen de los bienes; vínculos con lavado de activos, narcotráfico, trata de personas o similares; razones para cambiar de auditor; y amenazas éticas. Se consultan fuentes como internet, medios y listas restrictivas, y se hace una entrevista. Todo se resume en el </w:t>
      </w:r>
      <w:r>
        <w:rPr>
          <w:rFonts w:ascii="Arial" w:cs="Arial" w:eastAsia="Arial" w:hAnsi="Arial"/>
          <w:b/>
          <w:bCs/>
        </w:rPr>
        <w:t xml:space="preserve">PT-CALIDAD-06</w:t>
      </w:r>
      <w:r>
        <w:rPr>
          <w:rFonts w:ascii="Arial" w:cs="Arial" w:eastAsia="Arial" w:hAnsi="Arial"/>
        </w:rPr>
        <w:t xml:space="preserve"> (Anexo VI), que aprueba el socio director.</w:t>
      </w:r>
    </w:p>
    <w:p>
      <w:pPr>
        <w:pStyle w:val="Heading2"/>
        <w:keepNext/>
      </w:pPr>
      <w:r>
        <w:rPr>
          <w:rFonts w:ascii="Arial" w:cs="Arial" w:eastAsia="Arial" w:hAnsi="Arial"/>
        </w:rPr>
        <w:t xml:space="preserve">Continuidad de clientes recurrentes</w:t>
      </w:r>
    </w:p>
    <w:p>
      <w:pPr>
        <w:spacing w:after="110" w:line="264"/>
        <w:jc w:val="both"/>
      </w:pPr>
      <w:r>
        <w:rPr>
          <w:rFonts w:ascii="Arial" w:cs="Arial" w:eastAsia="Arial" w:hAnsi="Arial"/>
        </w:rPr>
        <w:t xml:space="preserve">Cada año se revisa la continuidad con el </w:t>
      </w:r>
      <w:r>
        <w:rPr>
          <w:rFonts w:ascii="Arial" w:cs="Arial" w:eastAsia="Arial" w:hAnsi="Arial"/>
          <w:b/>
          <w:bCs/>
        </w:rPr>
        <w:t xml:space="preserve">PT-CALIDAD-07</w:t>
      </w:r>
      <w:r>
        <w:rPr>
          <w:rFonts w:ascii="Arial" w:cs="Arial" w:eastAsia="Arial" w:hAnsi="Arial"/>
        </w:rPr>
        <w:t xml:space="preserve"> (Anexo VII): hallazgos del encargo anterior, hechos ilícitos o incumplimientos, independencia, conflictos, presiones, cambios en la actividad del cliente y rotación del equipo. El socio director aprueba. Si después de aceptar la Firma conoce información que habría llevado a rechazar el encargo, busca asesoría jurídica sobre sus opciones.</w:t>
      </w:r>
    </w:p>
    <w:p>
      <w:pPr>
        <w:pStyle w:val="Heading2"/>
        <w:keepNext/>
      </w:pPr>
      <w:r>
        <w:rPr>
          <w:rFonts w:ascii="Arial" w:cs="Arial" w:eastAsia="Arial" w:hAnsi="Arial"/>
        </w:rPr>
        <w:t xml:space="preserve">No aceptación y renuncia</w:t>
      </w:r>
    </w:p>
    <w:p>
      <w:pPr>
        <w:spacing w:after="110" w:line="264"/>
        <w:jc w:val="both"/>
      </w:pPr>
      <w:r>
        <w:rPr>
          <w:rFonts w:ascii="Arial" w:cs="Arial" w:eastAsia="Arial" w:hAnsi="Arial"/>
        </w:rPr>
        <w:t xml:space="preserve">La Firma no acepta cuando hay amenazas importantes sin salvaguardas aplicables. Si decide no continuar con un cliente recurrente, documenta las razones (hallazgos de riesgo sin salvaguarda, incumplimientos éticos, falta de personal o experiencia), las comunica por escrito (</w:t>
      </w:r>
      <w:r>
        <w:rPr>
          <w:rFonts w:ascii="Arial" w:cs="Arial" w:eastAsia="Arial" w:hAnsi="Arial"/>
          <w:b/>
          <w:bCs/>
        </w:rPr>
        <w:t xml:space="preserve">PT-CALIDAD-08</w:t>
      </w:r>
      <w:r>
        <w:rPr>
          <w:rFonts w:ascii="Arial" w:cs="Arial" w:eastAsia="Arial" w:hAnsi="Arial"/>
        </w:rPr>
        <w:t xml:space="preserve">, Anexo VIII) y se reúne con la dirección del cliente. Si por razones legales debe continuar, documenta las razones y busca asesoría gremial y jurídica.</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Debida diligencia para cada cliente; no se aceptan clientes vinculados a hechos ilícitos.</w:t>
      </w:r>
    </w:p>
    <w:p>
      <w:pPr>
        <w:pStyle w:val="ListParagraph"/>
        <w:numPr>
          <w:ilvl w:val="0"/>
          <w:numId w:val="3"/>
        </w:numPr>
        <w:spacing w:after="60" w:line="260"/>
        <w:jc w:val="both"/>
      </w:pPr>
      <w:r>
        <w:rPr>
          <w:rFonts w:ascii="Arial" w:cs="Arial" w:eastAsia="Arial" w:hAnsi="Arial"/>
        </w:rPr>
        <w:t xml:space="preserve">El cliente expresa las razones por las que dejó a su auditor anterior.</w:t>
      </w:r>
    </w:p>
    <w:p>
      <w:pPr>
        <w:pStyle w:val="ListParagraph"/>
        <w:numPr>
          <w:ilvl w:val="0"/>
          <w:numId w:val="3"/>
        </w:numPr>
        <w:spacing w:after="60" w:line="260"/>
        <w:jc w:val="both"/>
      </w:pPr>
      <w:r>
        <w:rPr>
          <w:rFonts w:ascii="Arial" w:cs="Arial" w:eastAsia="Arial" w:hAnsi="Arial"/>
        </w:rPr>
        <w:t xml:space="preserve">Toda propuesta se documenta por escrito.</w:t>
      </w:r>
    </w:p>
    <w:p>
      <w:pPr>
        <w:pStyle w:val="ListParagraph"/>
        <w:numPr>
          <w:ilvl w:val="0"/>
          <w:numId w:val="3"/>
        </w:numPr>
        <w:spacing w:after="60" w:line="260"/>
        <w:jc w:val="both"/>
      </w:pPr>
      <w:r>
        <w:rPr>
          <w:rFonts w:ascii="Arial" w:cs="Arial" w:eastAsia="Arial" w:hAnsi="Arial"/>
        </w:rPr>
        <w:t xml:space="preserve">Solo se aceptan trabajos que se puedan atender con la disponibilidad y capacidad de la Firma.</w:t>
      </w:r>
    </w:p>
    <w:p>
      <w:pPr>
        <w:pStyle w:val="ListParagraph"/>
        <w:numPr>
          <w:ilvl w:val="0"/>
          <w:numId w:val="3"/>
        </w:numPr>
        <w:spacing w:after="60" w:line="260"/>
        <w:jc w:val="both"/>
      </w:pPr>
      <w:r>
        <w:rPr>
          <w:rFonts w:ascii="Arial" w:cs="Arial" w:eastAsia="Arial" w:hAnsi="Arial"/>
        </w:rPr>
        <w:t xml:space="preserve">No se acepta una auditoría si otros servicios afectan la independencia.</w:t>
      </w:r>
    </w:p>
    <w:p>
      <w:pPr>
        <w:pStyle w:val="ListParagraph"/>
        <w:numPr>
          <w:ilvl w:val="0"/>
          <w:numId w:val="3"/>
        </w:numPr>
        <w:spacing w:after="140" w:line="260"/>
        <w:jc w:val="both"/>
      </w:pPr>
      <w:r>
        <w:rPr>
          <w:rFonts w:ascii="Arial" w:cs="Arial" w:eastAsia="Arial" w:hAnsi="Arial"/>
        </w:rPr>
        <w:t xml:space="preserve">El equipo firma los cuestionarios de aceptación o continuidad antes de trabajar en el encargo.</w:t>
      </w:r>
    </w:p>
    <w:p>
      <w:pPr>
        <w:pStyle w:val="Heading2"/>
        <w:keepNext/>
      </w:pPr>
      <w:r>
        <w:rPr>
          <w:rFonts w:ascii="Arial" w:cs="Arial" w:eastAsia="Arial" w:hAnsi="Arial"/>
        </w:rPr>
        <w:t xml:space="preserve">Identificación y valoración del riesgo de calidad y respuesta al riesgo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acepta o continúa un cliente sin completar el cuestionario de aceptación (PT-CALIDAD-06) o de continuidad (PT-CALIDAD-07).</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Todo el equipo verifica y firma el cuestionario que corresponda antes de trabajar en el encargo.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acepta o continúa una relación sin la aprobación del socio director.</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socio director firma todos los cuestionarios y verifica que el socio del encargo y el equipo los firmaron.</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cuestionarios no se completan con información veraz sobre la capacidad de la Firma.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Todo el equipo los verifica y, si duda de su veracidad, puede informarlo con el formulario de quejas y denuncias (PT-CALIDAD-17).</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socios anteponen las prioridades financieras y operativas y juzgan mal si aceptar o continuar.</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compromiso con la calidad prevalece sobre las prioridades financieras; hacer lo contrario es una grave violación del sistema.</w:t>
            </w:r>
          </w:p>
        </w:tc>
      </w:tr>
    </w:tbl>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5. Realización de los encargos</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Que los equipos conozcan y cumplan sus responsabilidades, incluida la responsabilidad general del socio del encargo de gestionar y lograr la calidad.</w:t>
      </w:r>
    </w:p>
    <w:p>
      <w:pPr>
        <w:pStyle w:val="ListParagraph"/>
        <w:numPr>
          <w:ilvl w:val="0"/>
          <w:numId w:val="3"/>
        </w:numPr>
        <w:spacing w:after="60" w:line="260"/>
        <w:jc w:val="both"/>
      </w:pPr>
      <w:r>
        <w:rPr>
          <w:rFonts w:ascii="Arial" w:cs="Arial" w:eastAsia="Arial" w:hAnsi="Arial"/>
        </w:rPr>
        <w:t xml:space="preserve">Que la dirección, supervisión y revisión sean adecuadas, y que el trabajo del personal con menos experiencia lo revise el de más experiencia.</w:t>
      </w:r>
    </w:p>
    <w:p>
      <w:pPr>
        <w:pStyle w:val="ListParagraph"/>
        <w:numPr>
          <w:ilvl w:val="0"/>
          <w:numId w:val="3"/>
        </w:numPr>
        <w:spacing w:after="60" w:line="260"/>
        <w:jc w:val="both"/>
      </w:pPr>
      <w:r>
        <w:rPr>
          <w:rFonts w:ascii="Arial" w:cs="Arial" w:eastAsia="Arial" w:hAnsi="Arial"/>
        </w:rPr>
        <w:t xml:space="preserve">Que los equipos ejerzan juicio profesional y escepticismo profesional.</w:t>
      </w:r>
    </w:p>
    <w:p>
      <w:pPr>
        <w:pStyle w:val="ListParagraph"/>
        <w:numPr>
          <w:ilvl w:val="0"/>
          <w:numId w:val="3"/>
        </w:numPr>
        <w:spacing w:after="60" w:line="260"/>
        <w:jc w:val="both"/>
      </w:pPr>
      <w:r>
        <w:rPr>
          <w:rFonts w:ascii="Arial" w:cs="Arial" w:eastAsia="Arial" w:hAnsi="Arial"/>
        </w:rPr>
        <w:t xml:space="preserve">Que se hagan consultas sobre cuestiones difíciles y se apliquen sus conclusiones.</w:t>
      </w:r>
    </w:p>
    <w:p>
      <w:pPr>
        <w:pStyle w:val="ListParagraph"/>
        <w:numPr>
          <w:ilvl w:val="0"/>
          <w:numId w:val="3"/>
        </w:numPr>
        <w:spacing w:after="60" w:line="260"/>
        <w:jc w:val="both"/>
      </w:pPr>
      <w:r>
        <w:rPr>
          <w:rFonts w:ascii="Arial" w:cs="Arial" w:eastAsia="Arial" w:hAnsi="Arial"/>
        </w:rPr>
        <w:t xml:space="preserve">Que las diferencias de opinión se comuniquen y se resuelvan.</w:t>
      </w:r>
    </w:p>
    <w:p>
      <w:pPr>
        <w:pStyle w:val="ListParagraph"/>
        <w:numPr>
          <w:ilvl w:val="0"/>
          <w:numId w:val="3"/>
        </w:numPr>
        <w:spacing w:after="140" w:line="260"/>
        <w:jc w:val="both"/>
      </w:pPr>
      <w:r>
        <w:rPr>
          <w:rFonts w:ascii="Arial" w:cs="Arial" w:eastAsia="Arial" w:hAnsi="Arial"/>
        </w:rPr>
        <w:t xml:space="preserve">Que la documentación del encargo se recopile a tiempo, se conserve y se mantenga.</w:t>
      </w:r>
    </w:p>
    <w:p>
      <w:pPr>
        <w:pStyle w:val="Heading2"/>
        <w:keepNext/>
      </w:pPr>
      <w:r>
        <w:rPr>
          <w:rFonts w:ascii="Arial" w:cs="Arial" w:eastAsia="Arial" w:hAnsi="Arial"/>
        </w:rPr>
        <w:t xml:space="preserve">Consultas</w:t>
      </w:r>
    </w:p>
    <w:p>
      <w:pPr>
        <w:spacing w:after="110" w:line="264"/>
        <w:jc w:val="both"/>
      </w:pPr>
      <w:r>
        <w:rPr>
          <w:rFonts w:ascii="Arial" w:cs="Arial" w:eastAsia="Arial" w:hAnsi="Arial"/>
        </w:rPr>
        <w:t xml:space="preserve">Las consultas aprovechan la experiencia de los miembros de la Firma o de expertos externos. Se hacen por escrito, se documentan con su naturaleza, alcance y conclusiones, y se aplican. El </w:t>
      </w:r>
      <w:r>
        <w:rPr>
          <w:rFonts w:ascii="Arial" w:cs="Arial" w:eastAsia="Arial" w:hAnsi="Arial"/>
          <w:b/>
          <w:bCs/>
        </w:rPr>
        <w:t xml:space="preserve">PT-CALIDAD-10</w:t>
      </w:r>
      <w:r>
        <w:rPr>
          <w:rFonts w:ascii="Arial" w:cs="Arial" w:eastAsia="Arial" w:hAnsi="Arial"/>
        </w:rPr>
        <w:t xml:space="preserve"> (Anexo X) es el esquema que guía la consulta e indica cuándo se requiere un experto. Las consultas externas las autoriza el socio del encargo o el socio director, y el experto debe ser independiente del cliente. Fuentes: libros y normas (NIIF, NIA), organismos profesionales como el CTCP, la Junta Central de Contadores y el IFAC, el Foro de Firmas Interamericanas de la AIC y páginas especializadas.</w:t>
      </w:r>
    </w:p>
    <w:p>
      <w:pPr>
        <w:pStyle w:val="Heading2"/>
        <w:keepNext/>
      </w:pPr>
      <w:r>
        <w:rPr>
          <w:rFonts w:ascii="Arial" w:cs="Arial" w:eastAsia="Arial" w:hAnsi="Arial"/>
        </w:rPr>
        <w:t xml:space="preserve">Expertos externos</w:t>
      </w:r>
    </w:p>
    <w:p>
      <w:pPr>
        <w:spacing w:after="110" w:line="264"/>
        <w:jc w:val="both"/>
      </w:pPr>
      <w:r>
        <w:rPr>
          <w:rFonts w:ascii="Arial" w:cs="Arial" w:eastAsia="Arial" w:hAnsi="Arial"/>
        </w:rPr>
        <w:t xml:space="preserve">Se contratan cuando la Firma no tiene la experiencia, por ejemplo para observar inventarios especializados (NIA 620). El socio director o el socio del encargo aprueba, se revisan los requisitos de confidencialidad del cliente y se firma un contrato escrito (</w:t>
      </w:r>
      <w:r>
        <w:rPr>
          <w:rFonts w:ascii="Arial" w:cs="Arial" w:eastAsia="Arial" w:hAnsi="Arial"/>
          <w:b/>
          <w:bCs/>
        </w:rPr>
        <w:t xml:space="preserve">PT-CALIDAD-11</w:t>
      </w:r>
      <w:r>
        <w:rPr>
          <w:rFonts w:ascii="Arial" w:cs="Arial" w:eastAsia="Arial" w:hAnsi="Arial"/>
        </w:rPr>
        <w:t xml:space="preserve">, Anexo XI) con alcance, plazo, independencia y honorarios.</w:t>
      </w:r>
    </w:p>
    <w:p>
      <w:pPr>
        <w:pStyle w:val="Heading2"/>
        <w:keepNext/>
      </w:pPr>
      <w:r>
        <w:rPr>
          <w:rFonts w:ascii="Arial" w:cs="Arial" w:eastAsia="Arial" w:hAnsi="Arial"/>
        </w:rPr>
        <w:t xml:space="preserve">Revisor de calidad del encargo</w:t>
      </w:r>
    </w:p>
    <w:p>
      <w:pPr>
        <w:spacing w:after="110" w:line="264"/>
        <w:jc w:val="both"/>
      </w:pPr>
      <w:r>
        <w:rPr>
          <w:rFonts w:ascii="Arial" w:cs="Arial" w:eastAsia="Arial" w:hAnsi="Arial"/>
        </w:rPr>
        <w:t xml:space="preserve">La Firma designa por escrito (</w:t>
      </w:r>
      <w:r>
        <w:rPr>
          <w:rFonts w:ascii="Arial" w:cs="Arial" w:eastAsia="Arial" w:hAnsi="Arial"/>
          <w:b/>
          <w:bCs/>
        </w:rPr>
        <w:t xml:space="preserve">PT-CALIDAD-12</w:t>
      </w:r>
      <w:r>
        <w:rPr>
          <w:rFonts w:ascii="Arial" w:cs="Arial" w:eastAsia="Arial" w:hAnsi="Arial"/>
        </w:rPr>
        <w:t xml:space="preserve">, Anexo XII) a un revisor que no sea parte del equipo, con conocimiento del trabajo, experiencia, capacidad de análisis, autoridad y capacitación, y que pueda responder consultas sin perder su objetividad. Evalúa los juicios significativos del equipo y sus conclusiones con el cuestionario </w:t>
      </w:r>
      <w:r>
        <w:rPr>
          <w:rFonts w:ascii="Arial" w:cs="Arial" w:eastAsia="Arial" w:hAnsi="Arial"/>
          <w:b/>
          <w:bCs/>
        </w:rPr>
        <w:t xml:space="preserve">PT-CALIDAD-13</w:t>
      </w:r>
      <w:r>
        <w:rPr>
          <w:rFonts w:ascii="Arial" w:cs="Arial" w:eastAsia="Arial" w:hAnsi="Arial"/>
        </w:rPr>
        <w:t xml:space="preserve"> (Anexo XIII). La revisión termina antes de la fecha del informe o en esa fecha y no reduce la responsabilidad del socio del encargo. Para los encargos que lo requieran, la NIGC 2 exige un revisor de calidad con un período de enfriamiento de dos años para quien fue el socio del encargo.</w:t>
      </w:r>
    </w:p>
    <w:p>
      <w:pPr>
        <w:spacing w:after="110" w:line="264"/>
        <w:jc w:val="both"/>
      </w:pPr>
      <w:r>
        <w:rPr>
          <w:rFonts w:ascii="Arial" w:cs="Arial" w:eastAsia="Arial" w:hAnsi="Arial"/>
          <w:b/>
          <w:bCs/>
        </w:rPr>
        <w:t xml:space="preserve">Persona natural:</w:t>
      </w:r>
      <w:r>
        <w:rPr>
          <w:rFonts w:ascii="Arial" w:cs="Arial" w:eastAsia="Arial" w:hAnsi="Arial"/>
        </w:rPr>
        <w:t xml:space="preserve"> si no tiene un colega interno, contrate un revisor externo en los encargos de mayor riesgo. En los demás, haga una autorrevisión documentada con el mismo cuestionario.</w:t>
      </w:r>
    </w:p>
    <w:p>
      <w:pPr>
        <w:pStyle w:val="Heading2"/>
        <w:keepNext/>
      </w:pPr>
      <w:r>
        <w:rPr>
          <w:rFonts w:ascii="Arial" w:cs="Arial" w:eastAsia="Arial" w:hAnsi="Arial"/>
        </w:rPr>
        <w:t xml:space="preserve">Diferencias de opinión</w:t>
      </w:r>
    </w:p>
    <w:p>
      <w:pPr>
        <w:spacing w:after="110" w:line="264"/>
        <w:jc w:val="both"/>
      </w:pPr>
      <w:r>
        <w:rPr>
          <w:rFonts w:ascii="Arial" w:cs="Arial" w:eastAsia="Arial" w:hAnsi="Arial"/>
        </w:rPr>
        <w:t xml:space="preserve">Se detectan temprano, se documentan y se resuelven antes de emitir el informe.</w:t>
      </w:r>
    </w:p>
    <w:p>
      <w:pPr>
        <w:pStyle w:val="Heading2"/>
        <w:keepNext/>
      </w:pPr>
      <w:r>
        <w:rPr>
          <w:rFonts w:ascii="Arial" w:cs="Arial" w:eastAsia="Arial" w:hAnsi="Arial"/>
        </w:rPr>
        <w:t xml:space="preserve">Conservación de los archivos finales</w:t>
      </w:r>
    </w:p>
    <w:p>
      <w:pPr>
        <w:spacing w:after="110" w:line="264"/>
        <w:jc w:val="both"/>
      </w:pPr>
      <w:r>
        <w:rPr>
          <w:rFonts w:ascii="Arial" w:cs="Arial" w:eastAsia="Arial" w:hAnsi="Arial"/>
        </w:rPr>
        <w:t xml:space="preserve">Al concluir el plazo para completar la documentación, se guardan los archivos finales bajo custodia, físicos y digitales, y se preserva su confidencialidad. Los papeles de trabajo son propiedad de la Firma. Se conservan por </w:t>
      </w:r>
      <w:r>
        <w:rPr>
          <w:rFonts w:ascii="Arial" w:cs="Arial" w:eastAsia="Arial" w:hAnsi="Arial"/>
          <w:color w:val="8A6A00"/>
          <w:shd w:fill="FFF4CC" w:color="auto" w:val="clear"/>
        </w:rPr>
        <w:t xml:space="preserve">[10]</w:t>
      </w:r>
      <w:r>
        <w:rPr>
          <w:rFonts w:ascii="Arial" w:cs="Arial" w:eastAsia="Arial" w:hAnsi="Arial"/>
        </w:rPr>
        <w:t xml:space="preserve"> años (la NIGC 1 exige un mínimo de cinco).</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Los encargos se realizan conforme a las normas profesionales y legales aplicables, en especial las NIA.</w:t>
      </w:r>
    </w:p>
    <w:p>
      <w:pPr>
        <w:pStyle w:val="ListParagraph"/>
        <w:numPr>
          <w:ilvl w:val="0"/>
          <w:numId w:val="3"/>
        </w:numPr>
        <w:spacing w:after="60" w:line="260"/>
        <w:jc w:val="both"/>
      </w:pPr>
      <w:r>
        <w:rPr>
          <w:rFonts w:ascii="Arial" w:cs="Arial" w:eastAsia="Arial" w:hAnsi="Arial"/>
        </w:rPr>
        <w:t xml:space="preserve">El equipo se conforma con el cuestionario </w:t>
      </w:r>
      <w:r>
        <w:rPr>
          <w:rFonts w:ascii="Arial" w:cs="Arial" w:eastAsia="Arial" w:hAnsi="Arial"/>
          <w:b/>
          <w:bCs/>
        </w:rPr>
        <w:t xml:space="preserve">PT-CALIDAD-09</w:t>
      </w:r>
      <w:r>
        <w:rPr>
          <w:rFonts w:ascii="Arial" w:cs="Arial" w:eastAsia="Arial" w:hAnsi="Arial"/>
        </w:rPr>
        <w:t xml:space="preserve"> (Anexo IX), con experiencia y capacidades acordes al cliente.</w:t>
      </w:r>
    </w:p>
    <w:p>
      <w:pPr>
        <w:pStyle w:val="ListParagraph"/>
        <w:numPr>
          <w:ilvl w:val="0"/>
          <w:numId w:val="3"/>
        </w:numPr>
        <w:spacing w:after="60" w:line="260"/>
        <w:jc w:val="both"/>
      </w:pPr>
      <w:r>
        <w:rPr>
          <w:rFonts w:ascii="Arial" w:cs="Arial" w:eastAsia="Arial" w:hAnsi="Arial"/>
        </w:rPr>
        <w:t xml:space="preserve">La supervisión y revisión se evidencian en los papeles de trabajo; el de más experiencia revisa al de menos experiencia.</w:t>
      </w:r>
    </w:p>
    <w:p>
      <w:pPr>
        <w:pStyle w:val="ListParagraph"/>
        <w:numPr>
          <w:ilvl w:val="0"/>
          <w:numId w:val="3"/>
        </w:numPr>
        <w:spacing w:after="60" w:line="260"/>
        <w:jc w:val="both"/>
      </w:pPr>
      <w:r>
        <w:rPr>
          <w:rFonts w:ascii="Arial" w:cs="Arial" w:eastAsia="Arial" w:hAnsi="Arial"/>
        </w:rPr>
        <w:t xml:space="preserve">Las observaciones del revisor se discuten con el equipo y los acuerdos se aplican.</w:t>
      </w:r>
    </w:p>
    <w:p>
      <w:pPr>
        <w:pStyle w:val="ListParagraph"/>
        <w:numPr>
          <w:ilvl w:val="0"/>
          <w:numId w:val="3"/>
        </w:numPr>
        <w:spacing w:after="140" w:line="260"/>
        <w:jc w:val="both"/>
      </w:pPr>
      <w:r>
        <w:rPr>
          <w:rFonts w:ascii="Arial" w:cs="Arial" w:eastAsia="Arial" w:hAnsi="Arial"/>
        </w:rPr>
        <w:t xml:space="preserve">Se contratan expertos externos cuando es necesario.</w:t>
      </w:r>
    </w:p>
    <w:p>
      <w:pPr>
        <w:pStyle w:val="Heading2"/>
        <w:keepNext/>
      </w:pPr>
      <w:r>
        <w:rPr>
          <w:rFonts w:ascii="Arial" w:cs="Arial" w:eastAsia="Arial" w:hAnsi="Arial"/>
        </w:rPr>
        <w:t xml:space="preserve">Identificación y valoración del riesgo de calidad y respuesta al riesgo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Gran parte del equipo no conoce ni cumple sus responsabilidades en los encargos.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Programas de formación, evaluaciones de desempeño y participación adecuada de los socios durante todo el encargo.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dirección, supervisión y revisión no se ajustan a la naturaleza y circunstancias del encargo.</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planifica cada encargo, se conoce bien el negocio del cliente y se revisa la estrategia durante el trabajo.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asignan al equipo los recursos necesarios (humanos, tecnológicos, intelectuales, proveedores y económicos).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presupuestan los recursos y se facilita su obtención según la naturaleza del encargo.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personal con menos experiencia dirige, supervisa o revisa los encargos.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Plan de carrera: el de menos experiencia es dirigido, supervisado y revisado por el de más experiencia.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5</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miembros del equipo no tienen libertad para ejercer juicio y escepticismo profesional.</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Mesas de discusión y valoración de casos; en las evaluaciones se verifica que las valoraciones se ajusten a las circunstancias.</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6</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hacen consultas sobre cuestiones difíciles, o se consultan fuentes poco confiables, o no se aplican las conclusiones.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fomenta la consulta escrita (PT-CALIDAD-10), primero interna y luego externa si hace falta, y se aplican las conclusiones.</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7</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documentación del encargo no se recopila a tiempo ni se conserva adecuadamente.</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socio del encargo verifica que esté documentado a tiempo; se conserva por el plazo de la política (nunca menos de cinco años).</w:t>
            </w:r>
          </w:p>
        </w:tc>
      </w:tr>
    </w:tbl>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6. Recursos</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Contratar, desarrollar y retener personal competente, con el tiempo suficiente para realizar encargos de calidad.</w:t>
      </w:r>
    </w:p>
    <w:p>
      <w:pPr>
        <w:pStyle w:val="ListParagraph"/>
        <w:numPr>
          <w:ilvl w:val="0"/>
          <w:numId w:val="3"/>
        </w:numPr>
        <w:spacing w:after="60" w:line="260"/>
        <w:jc w:val="both"/>
      </w:pPr>
      <w:r>
        <w:rPr>
          <w:rFonts w:ascii="Arial" w:cs="Arial" w:eastAsia="Arial" w:hAnsi="Arial"/>
        </w:rPr>
        <w:t xml:space="preserve">Obtener personal externo cuando el interno no basta.</w:t>
      </w:r>
    </w:p>
    <w:p>
      <w:pPr>
        <w:pStyle w:val="ListParagraph"/>
        <w:numPr>
          <w:ilvl w:val="0"/>
          <w:numId w:val="3"/>
        </w:numPr>
        <w:spacing w:after="60" w:line="260"/>
        <w:jc w:val="both"/>
      </w:pPr>
      <w:r>
        <w:rPr>
          <w:rFonts w:ascii="Arial" w:cs="Arial" w:eastAsia="Arial" w:hAnsi="Arial"/>
        </w:rPr>
        <w:t xml:space="preserve">Obtener, mantener y utilizar recursos tecnológicos e intelectuales apropiados.</w:t>
      </w:r>
    </w:p>
    <w:p>
      <w:pPr>
        <w:pStyle w:val="ListParagraph"/>
        <w:numPr>
          <w:ilvl w:val="0"/>
          <w:numId w:val="3"/>
        </w:numPr>
        <w:spacing w:after="140" w:line="260"/>
        <w:jc w:val="both"/>
      </w:pPr>
      <w:r>
        <w:rPr>
          <w:rFonts w:ascii="Arial" w:cs="Arial" w:eastAsia="Arial" w:hAnsi="Arial"/>
        </w:rPr>
        <w:t xml:space="preserve">Asegurar que los recursos de proveedores de servicios sean adecuados.</w:t>
      </w:r>
    </w:p>
    <w:p>
      <w:pPr>
        <w:pStyle w:val="Heading2"/>
        <w:keepNext/>
      </w:pPr>
      <w:r>
        <w:rPr>
          <w:rFonts w:ascii="Arial" w:cs="Arial" w:eastAsia="Arial" w:hAnsi="Arial"/>
        </w:rPr>
        <w:t xml:space="preserve">Recursos humanos</w:t>
      </w:r>
    </w:p>
    <w:p>
      <w:pPr>
        <w:spacing w:after="110" w:line="264"/>
        <w:jc w:val="both"/>
      </w:pPr>
      <w:r>
        <w:rPr>
          <w:rFonts w:ascii="Arial" w:cs="Arial" w:eastAsia="Arial" w:hAnsi="Arial"/>
        </w:rPr>
        <w:t xml:space="preserve">El responsable de talento humano </w:t>
      </w:r>
      <w:r>
        <w:rPr>
          <w:rFonts w:ascii="Arial" w:cs="Arial" w:eastAsia="Arial" w:hAnsi="Arial"/>
          <w:color w:val="8A6A00"/>
          <w:shd w:fill="FFF4CC" w:color="auto" w:val="clear"/>
        </w:rPr>
        <w:t xml:space="preserve">[Escriba el cargo]</w:t>
      </w:r>
      <w:r>
        <w:rPr>
          <w:rFonts w:ascii="Arial" w:cs="Arial" w:eastAsia="Arial" w:hAnsi="Arial"/>
        </w:rPr>
        <w:t xml:space="preserve"> identifica las necesidades de personal con los líderes de cada área, selecciona primero entre el personal interno y, si es necesario, contrata externamente. A los candidatos se les aplican pruebas técnicas (NIIF, NIA, ética, normatividad colombiana), se verifican sus antecedentes y se les explica que firmarán las declaraciones de confidencialidad e independencia.</w:t>
      </w:r>
    </w:p>
    <w:p>
      <w:pPr>
        <w:spacing w:after="110" w:line="264"/>
        <w:jc w:val="both"/>
      </w:pPr>
      <w:r>
        <w:rPr>
          <w:rFonts w:ascii="Arial" w:cs="Arial" w:eastAsia="Arial" w:hAnsi="Arial"/>
        </w:rPr>
        <w:t xml:space="preserve">Al ingresar, el personal recibe inducción sobre la estructura, la misión, los valores y este manual, y cumple el período de prueba legal. Se mantiene un registro de capacitación por persona. Se evalúa el desempeño del personal técnico (conocimiento, calidad, cumplimiento de políticas, juicio, comunicación de amenazas, plazos, trabajo en equipo, informes) y quienes sobresalen son reconocidos y ascendidos. El incumplimiento de las políticas se sanciona de forma gradual, desde la amonestación escrita hasta la desvinculación.</w:t>
      </w:r>
    </w:p>
    <w:p>
      <w:pPr>
        <w:pStyle w:val="Heading2"/>
        <w:keepNext/>
      </w:pPr>
      <w:r>
        <w:rPr>
          <w:rFonts w:ascii="Arial" w:cs="Arial" w:eastAsia="Arial" w:hAnsi="Arial"/>
        </w:rPr>
        <w:t xml:space="preserve">Recursos tecnológicos</w:t>
      </w:r>
    </w:p>
    <w:p>
      <w:pPr>
        <w:spacing w:after="110" w:line="264"/>
        <w:jc w:val="both"/>
      </w:pPr>
      <w:r>
        <w:rPr>
          <w:rFonts w:ascii="Arial" w:cs="Arial" w:eastAsia="Arial" w:hAnsi="Arial"/>
        </w:rPr>
        <w:t xml:space="preserve">El ambiente de TI incluye programas, infraestructura (equipos, redes, bases de datos) y procesos (acceso, cambios, monitoreo). Se evalúan las necesidades al menos dos veces al año. Se valoran los riesgos del proveedor: frecuencia de actualizaciones, limitaciones de uso, confidencialidad de los datos y reputación. Ejemplos: software de auditoría, de control de tiempo, escáneres, equipos de alta capacidad y almacenamiento en la nube.</w:t>
      </w:r>
    </w:p>
    <w:p>
      <w:pPr>
        <w:pStyle w:val="Heading2"/>
        <w:keepNext/>
      </w:pPr>
      <w:r>
        <w:rPr>
          <w:rFonts w:ascii="Arial" w:cs="Arial" w:eastAsia="Arial" w:hAnsi="Arial"/>
        </w:rPr>
        <w:t xml:space="preserve">Recursos intelectuales</w:t>
      </w:r>
    </w:p>
    <w:p>
      <w:pPr>
        <w:spacing w:after="110" w:line="264"/>
        <w:jc w:val="both"/>
      </w:pPr>
      <w:r>
        <w:rPr>
          <w:rFonts w:ascii="Arial" w:cs="Arial" w:eastAsia="Arial" w:hAnsi="Arial"/>
        </w:rPr>
        <w:t xml:space="preserve">Incluyen suscripciones a organismos normativos, acceso a las normas (NIIF, NIA, Código del IESBA, normatividad colombiana), biblioteca física y virtual, manuales y guías de la Firma y el conocimiento del equipo. Sin recursos financieros suficientes no se pueden obtener ni mantener los demás recursos.</w:t>
      </w:r>
    </w:p>
    <w:p>
      <w:pPr>
        <w:pStyle w:val="Heading2"/>
        <w:keepNext/>
      </w:pPr>
      <w:r>
        <w:rPr>
          <w:rFonts w:ascii="Arial" w:cs="Arial" w:eastAsia="Arial" w:hAnsi="Arial"/>
        </w:rPr>
        <w:t xml:space="preserve">Proveedores de servicios</w:t>
      </w:r>
    </w:p>
    <w:p>
      <w:pPr>
        <w:spacing w:after="110" w:line="264"/>
        <w:jc w:val="both"/>
      </w:pPr>
      <w:r>
        <w:rPr>
          <w:rFonts w:ascii="Arial" w:cs="Arial" w:eastAsia="Arial" w:hAnsi="Arial"/>
        </w:rPr>
        <w:t xml:space="preserve">Antes de contratar un proveedor se verifica que lo que ofrece cubre las necesidades de calidad de la Firma y que conoce y cumple los requerimientos de ética aplicables.</w:t>
      </w:r>
    </w:p>
    <w:p>
      <w:pPr>
        <w:spacing w:after="110" w:line="264"/>
        <w:jc w:val="both"/>
      </w:pPr>
      <w:r>
        <w:rPr>
          <w:rFonts w:ascii="Arial" w:cs="Arial" w:eastAsia="Arial" w:hAnsi="Arial"/>
          <w:b/>
          <w:bCs/>
        </w:rPr>
        <w:t xml:space="preserve">Persona natural:</w:t>
      </w:r>
      <w:r>
        <w:rPr>
          <w:rFonts w:ascii="Arial" w:cs="Arial" w:eastAsia="Arial" w:hAnsi="Arial"/>
        </w:rPr>
        <w:t xml:space="preserve"> sus recursos humanos son usted y sus apoyos externos. Documente su capacitación continua (el CTCP y la Junta Central de Contadores exigen actualización) y sus suscripciones.</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Facilitar al personal los recursos para su formación y programar su participación en cursos, talleres y seminarios.</w:t>
      </w:r>
    </w:p>
    <w:p>
      <w:pPr>
        <w:pStyle w:val="ListParagraph"/>
        <w:numPr>
          <w:ilvl w:val="0"/>
          <w:numId w:val="3"/>
        </w:numPr>
        <w:spacing w:after="60" w:line="260"/>
        <w:jc w:val="both"/>
      </w:pPr>
      <w:r>
        <w:rPr>
          <w:rFonts w:ascii="Arial" w:cs="Arial" w:eastAsia="Arial" w:hAnsi="Arial"/>
        </w:rPr>
        <w:t xml:space="preserve">Los miembros con más experiencia asisten a los de menos experiencia.</w:t>
      </w:r>
    </w:p>
    <w:p>
      <w:pPr>
        <w:pStyle w:val="ListParagraph"/>
        <w:numPr>
          <w:ilvl w:val="0"/>
          <w:numId w:val="3"/>
        </w:numPr>
        <w:spacing w:after="60" w:line="260"/>
        <w:jc w:val="both"/>
      </w:pPr>
      <w:r>
        <w:rPr>
          <w:rFonts w:ascii="Arial" w:cs="Arial" w:eastAsia="Arial" w:hAnsi="Arial"/>
        </w:rPr>
        <w:t xml:space="preserve">Asignar a cada encargo personal competente, con tiempo suficiente y un socio responsable.</w:t>
      </w:r>
    </w:p>
    <w:p>
      <w:pPr>
        <w:pStyle w:val="ListParagraph"/>
        <w:numPr>
          <w:ilvl w:val="0"/>
          <w:numId w:val="3"/>
        </w:numPr>
        <w:spacing w:after="60" w:line="260"/>
        <w:jc w:val="both"/>
      </w:pPr>
      <w:r>
        <w:rPr>
          <w:rFonts w:ascii="Arial" w:cs="Arial" w:eastAsia="Arial" w:hAnsi="Arial"/>
        </w:rPr>
        <w:t xml:space="preserve">Documentar la descripción de cada puesto y mantener un manual de inducción y un reglamento interno </w:t>
      </w:r>
      <w:r>
        <w:rPr>
          <w:rFonts w:ascii="Arial" w:cs="Arial" w:eastAsia="Arial" w:hAnsi="Arial"/>
          <w:color w:val="8A6A00"/>
          <w:shd w:fill="FFF4CC" w:color="auto" w:val="clear"/>
        </w:rPr>
        <w:t xml:space="preserve">[si aplica]</w:t>
      </w:r>
      <w:r>
        <w:rPr>
          <w:rFonts w:ascii="Arial" w:cs="Arial" w:eastAsia="Arial" w:hAnsi="Arial"/>
        </w:rPr>
        <w:t xml:space="preserve">.</w:t>
      </w:r>
    </w:p>
    <w:p>
      <w:pPr>
        <w:pStyle w:val="ListParagraph"/>
        <w:numPr>
          <w:ilvl w:val="0"/>
          <w:numId w:val="3"/>
        </w:numPr>
        <w:spacing w:after="140" w:line="260"/>
        <w:jc w:val="both"/>
      </w:pPr>
      <w:r>
        <w:rPr>
          <w:rFonts w:ascii="Arial" w:cs="Arial" w:eastAsia="Arial" w:hAnsi="Arial"/>
        </w:rPr>
        <w:t xml:space="preserve">Evaluar al personal y revisar periódicamente los procesos de reclutamiento.</w:t>
      </w:r>
    </w:p>
    <w:p>
      <w:pPr>
        <w:pStyle w:val="Heading2"/>
        <w:keepNext/>
      </w:pPr>
      <w:r>
        <w:rPr>
          <w:rFonts w:ascii="Arial" w:cs="Arial" w:eastAsia="Arial" w:hAnsi="Arial"/>
        </w:rPr>
        <w:t xml:space="preserve">Identificación y valoración del riesgo de calidad y respuesta al riesgo</w:t>
      </w:r>
    </w:p>
    <w:p>
      <w:pPr>
        <w:keepNext/>
        <w:spacing w:after="60" w:line="264"/>
        <w:jc w:val="both"/>
      </w:pPr>
      <w:r>
        <w:rPr>
          <w:rFonts w:ascii="Arial" w:cs="Arial" w:eastAsia="Arial" w:hAnsi="Arial"/>
          <w:b/>
          <w:bCs/>
        </w:rPr>
        <w:t xml:space="preserve">Recursos humanos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contrata personal sin la experiencia que los puestos del equipo exigen.</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Entrenamiento del personal nuevo; el de más experiencia transmite sus conocimientos al de menos.</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fomenta el desarrollo de competencias del personal para realizar encargos de calidad.</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identifican oportunidades de formación (cursos, talleres, seminarios) y la Firma financia la actualización necesaria.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El personal no demuestra compromiso con la calidad ni interés por desarrollar su competencia.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Evaluaciones oportunas por etapa y por encargo; compensaciones, promociones e incentivos para quienes lo hacen bien.</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asigna a los encargos un equipo sin la competencia ni el tiempo suficientes.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planificación determina la disponibilidad del equipo; si falta personal o tiempo, se solicita o se rechaza el encargo.</w:t>
            </w:r>
          </w:p>
        </w:tc>
      </w:tr>
    </w:tbl>
    <w:p>
      <w:pPr>
        <w:keepNext/>
        <w:spacing w:after="60" w:line="264"/>
        <w:jc w:val="both"/>
      </w:pPr>
      <w:r>
        <w:rPr>
          <w:rFonts w:ascii="Arial" w:cs="Arial" w:eastAsia="Arial" w:hAnsi="Arial"/>
          <w:b/>
          <w:bCs/>
        </w:rPr>
        <w:t xml:space="preserve">Recursos tecnológicos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evalúan a tiempo las necesidades de recursos tecnológicos apropiados.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Al menos dos veces al año se evalúan las necesidades; se adquiere si hay necesidad clara, análisis costo-beneficio y recursos.</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recursos tecnológicos obtenidos no se implementan o no se usan como se espera.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hace seguimiento a la implementación y al uso adecuado de la tecnología adquirida.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recursos tecnológicos obtenidos quedan obsoletos para las necesidades de la Firma.</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verifica que se actualicen y se ajusten a las necesidades de la Firma y del mercado.</w:t>
            </w:r>
          </w:p>
        </w:tc>
      </w:tr>
    </w:tbl>
    <w:p>
      <w:pPr>
        <w:keepNext/>
        <w:spacing w:after="60" w:line="264"/>
        <w:jc w:val="both"/>
      </w:pPr>
      <w:r>
        <w:rPr>
          <w:rFonts w:ascii="Arial" w:cs="Arial" w:eastAsia="Arial" w:hAnsi="Arial"/>
          <w:b/>
          <w:bCs/>
        </w:rPr>
        <w:t xml:space="preserve">Recursos intelectuales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evalúan las necesidades de recursos intelectuales consistentes con las normas aplicables.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Evaluación periódica y suscripciones a organismos normativos y de conocimiento profesional.</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Los recursos intelectuales obtenidos no se usan en los encargos.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Las revisiones del socio y del revisor de calidad verifican su aplicación y se corrige el uso inadecuado.</w:t>
            </w:r>
          </w:p>
        </w:tc>
      </w:tr>
    </w:tbl>
    <w:p>
      <w:pPr>
        <w:keepNext/>
        <w:spacing w:after="60" w:line="264"/>
        <w:jc w:val="both"/>
      </w:pPr>
      <w:r>
        <w:rPr>
          <w:rFonts w:ascii="Arial" w:cs="Arial" w:eastAsia="Arial" w:hAnsi="Arial"/>
          <w:b/>
          <w:bCs/>
        </w:rPr>
        <w:t xml:space="preserve">Proveedores de servicios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contratan proveedores de servicios cuyos recursos no son adecuados para el sistema ni para los encargos.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Antes de contratar se verifica que lo ofrecido cubra las necesidades de calidad de la Firma.</w:t>
            </w:r>
          </w:p>
        </w:tc>
      </w:tr>
    </w:tbl>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7. Información y comunicación</w:t>
      </w:r>
    </w:p>
    <w:p>
      <w:pPr>
        <w:spacing w:after="110" w:line="264"/>
        <w:jc w:val="both"/>
      </w:pPr>
      <w:r>
        <w:rPr>
          <w:rFonts w:ascii="Arial" w:cs="Arial" w:eastAsia="Arial" w:hAnsi="Arial"/>
        </w:rPr>
        <w:t xml:space="preserve">En todos los componentes hay información y comunicación. Debe ser relevante, fiable, precisa, completa y oportuna, tanto dentro de la Firma como hacia terceros externos. La ley a veces obliga a comunicar información a reguladores, gremios o al Estado, y otras veces impide hacerlo.</w:t>
      </w:r>
    </w:p>
    <w:p>
      <w:pPr>
        <w:pStyle w:val="Heading2"/>
        <w:keepNext/>
      </w:pPr>
      <w:r>
        <w:rPr>
          <w:rFonts w:ascii="Arial" w:cs="Arial" w:eastAsia="Arial" w:hAnsi="Arial"/>
        </w:rPr>
        <w:t xml:space="preserve">Objetivos de calidad</w:t>
      </w:r>
    </w:p>
    <w:p>
      <w:pPr>
        <w:pStyle w:val="ListParagraph"/>
        <w:numPr>
          <w:ilvl w:val="0"/>
          <w:numId w:val="3"/>
        </w:numPr>
        <w:spacing w:after="60" w:line="260"/>
        <w:jc w:val="both"/>
      </w:pPr>
      <w:r>
        <w:rPr>
          <w:rFonts w:ascii="Arial" w:cs="Arial" w:eastAsia="Arial" w:hAnsi="Arial"/>
        </w:rPr>
        <w:t xml:space="preserve">Contar con un sistema de información que identifique, capture, procese y mantenga información relevante y fiable, interna y externa.</w:t>
      </w:r>
    </w:p>
    <w:p>
      <w:pPr>
        <w:pStyle w:val="ListParagraph"/>
        <w:numPr>
          <w:ilvl w:val="0"/>
          <w:numId w:val="3"/>
        </w:numPr>
        <w:spacing w:after="60" w:line="260"/>
        <w:jc w:val="both"/>
      </w:pPr>
      <w:r>
        <w:rPr>
          <w:rFonts w:ascii="Arial" w:cs="Arial" w:eastAsia="Arial" w:hAnsi="Arial"/>
        </w:rPr>
        <w:t xml:space="preserve">Lograr una cultura que refuerce la responsabilidad de intercambiar información.</w:t>
      </w:r>
    </w:p>
    <w:p>
      <w:pPr>
        <w:pStyle w:val="ListParagraph"/>
        <w:numPr>
          <w:ilvl w:val="0"/>
          <w:numId w:val="3"/>
        </w:numPr>
        <w:spacing w:after="60" w:line="260"/>
        <w:jc w:val="both"/>
      </w:pPr>
      <w:r>
        <w:rPr>
          <w:rFonts w:ascii="Arial" w:cs="Arial" w:eastAsia="Arial" w:hAnsi="Arial"/>
        </w:rPr>
        <w:t xml:space="preserve">Intercambiar información suficiente en la Firma y con los equipos para cumplir sus responsabilidades.</w:t>
      </w:r>
    </w:p>
    <w:p>
      <w:pPr>
        <w:pStyle w:val="ListParagraph"/>
        <w:numPr>
          <w:ilvl w:val="0"/>
          <w:numId w:val="3"/>
        </w:numPr>
        <w:spacing w:after="140" w:line="260"/>
        <w:jc w:val="both"/>
      </w:pPr>
      <w:r>
        <w:rPr>
          <w:rFonts w:ascii="Arial" w:cs="Arial" w:eastAsia="Arial" w:hAnsi="Arial"/>
        </w:rPr>
        <w:t xml:space="preserve">Comunicar información relevante a terceros externos, incluidos los proveedores, y cuando lo exija la ley, a los reguladores.</w:t>
      </w:r>
    </w:p>
    <w:p>
      <w:pPr>
        <w:pStyle w:val="Heading2"/>
        <w:keepNext/>
      </w:pPr>
      <w:r>
        <w:rPr>
          <w:rFonts w:ascii="Arial" w:cs="Arial" w:eastAsia="Arial" w:hAnsi="Arial"/>
        </w:rPr>
        <w:t xml:space="preserve">Qué se comunica</w:t>
      </w:r>
    </w:p>
    <w:p>
      <w:pPr>
        <w:pStyle w:val="ListParagraph"/>
        <w:numPr>
          <w:ilvl w:val="0"/>
          <w:numId w:val="3"/>
        </w:numPr>
        <w:spacing w:after="60" w:line="260"/>
        <w:jc w:val="both"/>
      </w:pPr>
      <w:r>
        <w:rPr>
          <w:rFonts w:ascii="Arial" w:cs="Arial" w:eastAsia="Arial" w:hAnsi="Arial"/>
        </w:rPr>
        <w:t xml:space="preserve">Los incumplimientos de los requerimientos de ética.</w:t>
      </w:r>
    </w:p>
    <w:p>
      <w:pPr>
        <w:pStyle w:val="ListParagraph"/>
        <w:numPr>
          <w:ilvl w:val="0"/>
          <w:numId w:val="3"/>
        </w:numPr>
        <w:spacing w:after="60" w:line="260"/>
        <w:jc w:val="both"/>
      </w:pPr>
      <w:r>
        <w:rPr>
          <w:rFonts w:ascii="Arial" w:cs="Arial" w:eastAsia="Arial" w:hAnsi="Arial"/>
        </w:rPr>
        <w:t xml:space="preserve">Los hallazgos del encargo que cambien la estrategia inicial.</w:t>
      </w:r>
    </w:p>
    <w:p>
      <w:pPr>
        <w:pStyle w:val="ListParagraph"/>
        <w:numPr>
          <w:ilvl w:val="0"/>
          <w:numId w:val="3"/>
        </w:numPr>
        <w:spacing w:after="60" w:line="260"/>
        <w:jc w:val="both"/>
      </w:pPr>
      <w:r>
        <w:rPr>
          <w:rFonts w:ascii="Arial" w:cs="Arial" w:eastAsia="Arial" w:hAnsi="Arial"/>
        </w:rPr>
        <w:t xml:space="preserve">Los resultados del encargo y el desempeño del equipo.</w:t>
      </w:r>
    </w:p>
    <w:p>
      <w:pPr>
        <w:pStyle w:val="ListParagraph"/>
        <w:numPr>
          <w:ilvl w:val="0"/>
          <w:numId w:val="3"/>
        </w:numPr>
        <w:spacing w:after="60" w:line="260"/>
        <w:jc w:val="both"/>
      </w:pPr>
      <w:r>
        <w:rPr>
          <w:rFonts w:ascii="Arial" w:cs="Arial" w:eastAsia="Arial" w:hAnsi="Arial"/>
        </w:rPr>
        <w:t xml:space="preserve">Las quejas y denuncias, por el formulario </w:t>
      </w:r>
      <w:r>
        <w:rPr>
          <w:rFonts w:ascii="Arial" w:cs="Arial" w:eastAsia="Arial" w:hAnsi="Arial"/>
          <w:b/>
          <w:bCs/>
        </w:rPr>
        <w:t xml:space="preserve">PT-CALIDAD-17</w:t>
      </w:r>
      <w:r>
        <w:rPr>
          <w:rFonts w:ascii="Arial" w:cs="Arial" w:eastAsia="Arial" w:hAnsi="Arial"/>
        </w:rPr>
        <w:t xml:space="preserve"> (Anexo XVII).</w:t>
      </w:r>
    </w:p>
    <w:p>
      <w:pPr>
        <w:pStyle w:val="ListParagraph"/>
        <w:numPr>
          <w:ilvl w:val="0"/>
          <w:numId w:val="3"/>
        </w:numPr>
        <w:spacing w:after="140" w:line="260"/>
        <w:jc w:val="both"/>
      </w:pPr>
      <w:r>
        <w:rPr>
          <w:rFonts w:ascii="Arial" w:cs="Arial" w:eastAsia="Arial" w:hAnsi="Arial"/>
        </w:rPr>
        <w:t xml:space="preserve">Los requerimientos de independencia y confidencialidad, desde el primer día.</w:t>
      </w:r>
    </w:p>
    <w:p>
      <w:pPr>
        <w:spacing w:after="110" w:line="264"/>
        <w:jc w:val="both"/>
      </w:pPr>
      <w:r>
        <w:rPr>
          <w:rFonts w:ascii="Arial" w:cs="Arial" w:eastAsia="Arial" w:hAnsi="Arial"/>
        </w:rPr>
        <w:t xml:space="preserve">Las quejas y denuncias pueden venir de miembros del equipo, de la red, de clientes u otros, y se tratan con la misma importancia. Se anima a expresarlas sin temor a represalias. A terceros (clientes, auditorías de grupo, inversionistas, supervisores) se les informa del sistema cuando es útil o cuando lo exige la ley, por ejemplo a la Superintendencia que supervise al cliente.</w:t>
      </w:r>
    </w:p>
    <w:p>
      <w:pPr>
        <w:pStyle w:val="Heading2"/>
        <w:keepNext/>
      </w:pPr>
      <w:r>
        <w:rPr>
          <w:rFonts w:ascii="Arial" w:cs="Arial" w:eastAsia="Arial" w:hAnsi="Arial"/>
        </w:rPr>
        <w:t xml:space="preserve">Identificación y valoración del riesgo de calidad y respuesta al riesgo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680"/>
        <w:gridCol w:w="2800"/>
        <w:gridCol w:w="640"/>
        <w:gridCol w:w="640"/>
        <w:gridCol w:w="640"/>
        <w:gridCol w:w="3960"/>
      </w:tblGrid>
      <w:tr>
        <w:trPr>
          <w:cantSplit/>
          <w:tblHeader/>
        </w:trPr>
        <w:tc>
          <w:tcPr>
            <w:tcW w:type="dxa" w:w="68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N.º</w:t>
            </w:r>
          </w:p>
        </w:tc>
        <w:tc>
          <w:tcPr>
            <w:tcW w:type="dxa" w:w="28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Identificación del riesgo</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P</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I</w:t>
            </w:r>
          </w:p>
        </w:tc>
        <w:tc>
          <w:tcPr>
            <w:tcW w:type="dxa" w:w="64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w:t>
            </w:r>
          </w:p>
        </w:tc>
        <w:tc>
          <w:tcPr>
            <w:tcW w:type="dxa" w:w="39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Respuesta al riesgo</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1</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existe un sistema de información que identifique, capture, procese y mantenga información relevante y fiable.</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Firma tiene un sistema de archivo de la información relevante, que se almacena una vez verificada su fiabilidad.</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2</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existe una cultura que refuerce la responsabilidad del personal de intercambiar información.</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Por escrito (correos, boletines) y en reuniones se incentiva mantener abiertos los canales de inquietudes, quejas y sugerencias.</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3</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información intercambiada con los equipos no es relevante ni fiable.</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procura que se fundamente en evidencia suficiente y adecuada.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4</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comunica información relevante y fiable a terceros externos, incluidos los proveedores.</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shd w:fill="FFF0A8"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procura que se fundamente en evidencia suficiente y adecuada.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5</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comunica externamente información que la ley exige.</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1</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shd w:fill="C9E8CF"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La Firma cumple los requerimientos legales y entrega la información que soliciten quienes tienen la potestad de exigirla, por ejemplo una Superintendencia.</w:t>
            </w:r>
          </w:p>
        </w:tc>
      </w:tr>
      <w:tr>
        <w:trPr>
          <w:cantSplit/>
        </w:trPr>
        <w:tc>
          <w:tcPr>
            <w:tcW w:type="dxa" w:w="68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6</w:t>
            </w:r>
          </w:p>
        </w:tc>
        <w:tc>
          <w:tcPr>
            <w:tcW w:type="dxa" w:w="28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No se comunican al personal los requerimientos de independencia y confidencialidad.</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2</w:t>
            </w:r>
          </w:p>
        </w:tc>
        <w:tc>
          <w:tcPr>
            <w:tcW w:type="dxa" w:w="640"/>
            <w:tcBorders>
              <w:top w:val="single" w:color="BFC9D9" w:sz="4"/>
              <w:left w:val="single" w:color="BFC9D9" w:sz="4"/>
              <w:bottom w:val="single" w:color="BFC9D9" w:sz="4"/>
              <w:right w:val="single" w:color="BFC9D9" w:sz="4"/>
            </w:tcBorders>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3</w:t>
            </w:r>
          </w:p>
        </w:tc>
        <w:tc>
          <w:tcPr>
            <w:tcW w:type="dxa" w:w="640"/>
            <w:tcBorders>
              <w:top w:val="single" w:color="BFC9D9" w:sz="4"/>
              <w:left w:val="single" w:color="BFC9D9" w:sz="4"/>
              <w:bottom w:val="single" w:color="BFC9D9" w:sz="4"/>
              <w:right w:val="single" w:color="BFC9D9" w:sz="4"/>
            </w:tcBorders>
            <w:shd w:fill="F4B6B0" w:color="auto" w:val="clear"/>
            <w:tcMar>
              <w:top w:type="dxa" w:w="70"/>
              <w:left w:type="dxa" w:w="60"/>
              <w:bottom w:type="dxa" w:w="70"/>
              <w:right w:type="dxa" w:w="60"/>
            </w:tcMar>
            <w:vAlign w:val="center"/>
          </w:tcPr>
          <w:p>
            <w:pPr>
              <w:jc w:val="center"/>
            </w:pPr>
            <w:r>
              <w:rPr>
                <w:rFonts w:ascii="Arial" w:cs="Arial" w:eastAsia="Arial" w:hAnsi="Arial"/>
                <w:b/>
                <w:bCs/>
                <w:color w:val="1F2D3D"/>
                <w:sz w:val="24"/>
                <w:szCs w:val="24"/>
              </w:rPr>
              <w:t xml:space="preserve">6</w:t>
            </w:r>
          </w:p>
        </w:tc>
        <w:tc>
          <w:tcPr>
            <w:tcW w:type="dxa" w:w="39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both"/>
            </w:pPr>
            <w:r>
              <w:rPr>
                <w:rFonts w:ascii="Arial" w:cs="Arial" w:eastAsia="Arial" w:hAnsi="Arial"/>
              </w:rPr>
              <w:t xml:space="preserve">Se comunican desde el primer día y todos firman cada año las declaraciones (PT-CALIDAD-04 y 05).</w:t>
            </w:r>
          </w:p>
        </w:tc>
      </w:tr>
    </w:tbl>
    <w:p>
      <w:pPr>
        <w:spacing w:after="140" w:line="264"/>
        <w:jc w:val="both"/>
      </w:pPr>
      <w:r>
        <w:rPr>
          <w:rFonts w:ascii="Arial" w:cs="Arial" w:eastAsia="Arial" w:hAnsi="Arial"/>
          <w:color w:val="6B7A8C"/>
          <w:sz w:val="20"/>
          <w:szCs w:val="20"/>
        </w:rPr>
        <w:t xml:space="preserve">P = probabilidad (1 baja, 2 media, 3 alta). I = impacto (1 insignificante, 2 moderado, 3 dañino). C = combinado, es P × I: verde 1 a 2, amarillo 3 a 4, rojo 6 a 9.</w:t>
      </w:r>
    </w:p>
    <w:p>
      <w:pPr>
        <w:pStyle w:val="Heading1"/>
        <w:keepNext/>
      </w:pPr>
      <w:r>
        <w:rPr>
          <w:rFonts w:ascii="Arial" w:cs="Arial" w:eastAsia="Arial" w:hAnsi="Arial"/>
        </w:rPr>
        <w:t xml:space="preserve">8. Seguimiento y corrección</w:t>
      </w:r>
    </w:p>
    <w:p>
      <w:pPr>
        <w:spacing w:after="110" w:line="264"/>
        <w:jc w:val="both"/>
      </w:pPr>
      <w:r>
        <w:rPr>
          <w:rFonts w:ascii="Arial" w:cs="Arial" w:eastAsia="Arial" w:hAnsi="Arial"/>
        </w:rPr>
        <w:t xml:space="preserve">Una vez al año, el inspector del seguimiento evalúa el diseño y el cumplimiento del sistema. Se nombra por escrito (</w:t>
      </w:r>
      <w:r>
        <w:rPr>
          <w:rFonts w:ascii="Arial" w:cs="Arial" w:eastAsia="Arial" w:hAnsi="Arial"/>
          <w:b/>
          <w:bCs/>
        </w:rPr>
        <w:t xml:space="preserve">PT-CALIDAD-14</w:t>
      </w:r>
      <w:r>
        <w:rPr>
          <w:rFonts w:ascii="Arial" w:cs="Arial" w:eastAsia="Arial" w:hAnsi="Arial"/>
        </w:rPr>
        <w:t xml:space="preserve">, Anexo XIV). Debe tener conocimiento y experiencia, capacidad de análisis y autoridad, y no haber sido parte del equipo ni revisor de los encargos que inspecciona; puede ser un miembro de la Firma o un externo.</w:t>
      </w:r>
    </w:p>
    <w:p>
      <w:pPr>
        <w:pStyle w:val="Heading2"/>
        <w:keepNext/>
      </w:pPr>
      <w:r>
        <w:rPr>
          <w:rFonts w:ascii="Arial" w:cs="Arial" w:eastAsia="Arial" w:hAnsi="Arial"/>
        </w:rPr>
        <w:t xml:space="preserve">Inspección</w:t>
      </w:r>
    </w:p>
    <w:p>
      <w:pPr>
        <w:pStyle w:val="ListParagraph"/>
        <w:numPr>
          <w:ilvl w:val="0"/>
          <w:numId w:val="3"/>
        </w:numPr>
        <w:spacing w:after="60" w:line="260"/>
        <w:jc w:val="both"/>
      </w:pPr>
      <w:r>
        <w:rPr>
          <w:rFonts w:ascii="Arial" w:cs="Arial" w:eastAsia="Arial" w:hAnsi="Arial"/>
        </w:rPr>
        <w:t xml:space="preserve">Se programa en una época de baja carga de trabajo.</w:t>
      </w:r>
    </w:p>
    <w:p>
      <w:pPr>
        <w:pStyle w:val="ListParagraph"/>
        <w:numPr>
          <w:ilvl w:val="0"/>
          <w:numId w:val="3"/>
        </w:numPr>
        <w:spacing w:after="60" w:line="260"/>
        <w:jc w:val="both"/>
      </w:pPr>
      <w:r>
        <w:rPr>
          <w:rFonts w:ascii="Arial" w:cs="Arial" w:eastAsia="Arial" w:hAnsi="Arial"/>
        </w:rPr>
        <w:t xml:space="preserve">Se revisa el manual, los cambios normativos y la formación continua del año.</w:t>
      </w:r>
    </w:p>
    <w:p>
      <w:pPr>
        <w:pStyle w:val="ListParagraph"/>
        <w:numPr>
          <w:ilvl w:val="0"/>
          <w:numId w:val="3"/>
        </w:numPr>
        <w:spacing w:after="60" w:line="260"/>
        <w:jc w:val="both"/>
      </w:pPr>
      <w:r>
        <w:rPr>
          <w:rFonts w:ascii="Arial" w:cs="Arial" w:eastAsia="Arial" w:hAnsi="Arial"/>
        </w:rPr>
        <w:t xml:space="preserve">Se verifica por muestreo la evidencia de independencia y confidencialidad.</w:t>
      </w:r>
    </w:p>
    <w:p>
      <w:pPr>
        <w:pStyle w:val="ListParagraph"/>
        <w:numPr>
          <w:ilvl w:val="0"/>
          <w:numId w:val="3"/>
        </w:numPr>
        <w:spacing w:after="60" w:line="260"/>
        <w:jc w:val="both"/>
      </w:pPr>
      <w:r>
        <w:rPr>
          <w:rFonts w:ascii="Arial" w:cs="Arial" w:eastAsia="Arial" w:hAnsi="Arial"/>
        </w:rPr>
        <w:t xml:space="preserve">Se inspecciona al menos un encargo de auditoría y otro de servicios relacionados de cada socio.</w:t>
      </w:r>
    </w:p>
    <w:p>
      <w:pPr>
        <w:pStyle w:val="ListParagraph"/>
        <w:numPr>
          <w:ilvl w:val="0"/>
          <w:numId w:val="3"/>
        </w:numPr>
        <w:spacing w:after="60" w:line="260"/>
        <w:jc w:val="both"/>
      </w:pPr>
      <w:r>
        <w:rPr>
          <w:rFonts w:ascii="Arial" w:cs="Arial" w:eastAsia="Arial" w:hAnsi="Arial"/>
        </w:rPr>
        <w:t xml:space="preserve">Se entrevista a los socios sobre cambios al sistema, quejas, revisiones de reguladores e incumplimientos.</w:t>
      </w:r>
    </w:p>
    <w:p>
      <w:pPr>
        <w:pStyle w:val="ListParagraph"/>
        <w:numPr>
          <w:ilvl w:val="0"/>
          <w:numId w:val="3"/>
        </w:numPr>
        <w:spacing w:after="60" w:line="260"/>
        <w:jc w:val="both"/>
      </w:pPr>
      <w:r>
        <w:rPr>
          <w:rFonts w:ascii="Arial" w:cs="Arial" w:eastAsia="Arial" w:hAnsi="Arial"/>
        </w:rPr>
        <w:t xml:space="preserve">Se verifican las revisiones previas, las diferencias de opinión documentadas y que las conclusiones correspondan con la evidencia.</w:t>
      </w:r>
    </w:p>
    <w:p>
      <w:pPr>
        <w:pStyle w:val="ListParagraph"/>
        <w:numPr>
          <w:ilvl w:val="0"/>
          <w:numId w:val="3"/>
        </w:numPr>
        <w:spacing w:after="140" w:line="260"/>
        <w:jc w:val="both"/>
      </w:pPr>
      <w:r>
        <w:rPr>
          <w:rFonts w:ascii="Arial" w:cs="Arial" w:eastAsia="Arial" w:hAnsi="Arial"/>
        </w:rPr>
        <w:t xml:space="preserve">Se comunican las deficiencias repetitivas, es decir, las que no se corrigieron.</w:t>
      </w:r>
    </w:p>
    <w:p>
      <w:pPr>
        <w:spacing w:after="110" w:line="264"/>
        <w:jc w:val="both"/>
      </w:pPr>
      <w:r>
        <w:rPr>
          <w:rFonts w:ascii="Arial" w:cs="Arial" w:eastAsia="Arial" w:hAnsi="Arial"/>
        </w:rPr>
        <w:t xml:space="preserve">Completa el cuestionario </w:t>
      </w:r>
      <w:r>
        <w:rPr>
          <w:rFonts w:ascii="Arial" w:cs="Arial" w:eastAsia="Arial" w:hAnsi="Arial"/>
          <w:b/>
          <w:bCs/>
        </w:rPr>
        <w:t xml:space="preserve">PT-CALIDAD-15</w:t>
      </w:r>
      <w:r>
        <w:rPr>
          <w:rFonts w:ascii="Arial" w:cs="Arial" w:eastAsia="Arial" w:hAnsi="Arial"/>
        </w:rPr>
        <w:t xml:space="preserve"> (Anexo XV) y entrega al socio director el reporte de hallazgos </w:t>
      </w:r>
      <w:r>
        <w:rPr>
          <w:rFonts w:ascii="Arial" w:cs="Arial" w:eastAsia="Arial" w:hAnsi="Arial"/>
          <w:b/>
          <w:bCs/>
        </w:rPr>
        <w:t xml:space="preserve">PT-CALIDAD-16</w:t>
      </w:r>
      <w:r>
        <w:rPr>
          <w:rFonts w:ascii="Arial" w:cs="Arial" w:eastAsia="Arial" w:hAnsi="Arial"/>
        </w:rPr>
        <w:t xml:space="preserve"> (Anexo XVI), con las deficiencias significativas y las recomendaciones. Se discute en una reunión y se toman medidas correctivas: ajustar el sistema o sancionar a quienes lo incumplieron. Las deficiencias sistémicas se vuelven a valorar en la matriz de riesgos (PT-CALIDAD-01).</w:t>
      </w:r>
    </w:p>
    <w:p>
      <w:pPr>
        <w:spacing w:after="110" w:line="264"/>
        <w:jc w:val="both"/>
      </w:pPr>
      <w:r>
        <w:rPr>
          <w:rFonts w:ascii="Arial" w:cs="Arial" w:eastAsia="Arial" w:hAnsi="Arial"/>
          <w:b/>
          <w:bCs/>
        </w:rPr>
        <w:t xml:space="preserve">Persona natural:</w:t>
      </w:r>
      <w:r>
        <w:rPr>
          <w:rFonts w:ascii="Arial" w:cs="Arial" w:eastAsia="Arial" w:hAnsi="Arial"/>
        </w:rPr>
        <w:t xml:space="preserve"> el inspector debe ser un colega externo; si no es posible, haga una autoevaluación documentada y compleméntela con la revisión de calidad externa.</w:t>
      </w:r>
    </w:p>
    <w:p>
      <w:pPr>
        <w:pStyle w:val="Heading2"/>
        <w:keepNext/>
      </w:pPr>
      <w:r>
        <w:rPr>
          <w:rFonts w:ascii="Arial" w:cs="Arial" w:eastAsia="Arial" w:hAnsi="Arial"/>
        </w:rPr>
        <w:t xml:space="preserve">Políticas y procedimientos</w:t>
      </w:r>
    </w:p>
    <w:p>
      <w:pPr>
        <w:pStyle w:val="ListParagraph"/>
        <w:numPr>
          <w:ilvl w:val="0"/>
          <w:numId w:val="3"/>
        </w:numPr>
        <w:spacing w:after="60" w:line="260"/>
        <w:jc w:val="both"/>
      </w:pPr>
      <w:r>
        <w:rPr>
          <w:rFonts w:ascii="Arial" w:cs="Arial" w:eastAsia="Arial" w:hAnsi="Arial"/>
        </w:rPr>
        <w:t xml:space="preserve">Seguimiento mediante revisión y evaluación continuada, con seguridad razonable de que las políticas son relevantes y operan.</w:t>
      </w:r>
    </w:p>
    <w:p>
      <w:pPr>
        <w:pStyle w:val="ListParagraph"/>
        <w:numPr>
          <w:ilvl w:val="0"/>
          <w:numId w:val="3"/>
        </w:numPr>
        <w:spacing w:after="60" w:line="260"/>
        <w:jc w:val="both"/>
      </w:pPr>
      <w:r>
        <w:rPr>
          <w:rFonts w:ascii="Arial" w:cs="Arial" w:eastAsia="Arial" w:hAnsi="Arial"/>
        </w:rPr>
        <w:t xml:space="preserve">Las deficiencias y las recomendaciones se evalúan, se comunican al personal implicado y se corrigen.</w:t>
      </w:r>
    </w:p>
    <w:p>
      <w:pPr>
        <w:pStyle w:val="ListParagraph"/>
        <w:numPr>
          <w:ilvl w:val="0"/>
          <w:numId w:val="3"/>
        </w:numPr>
        <w:spacing w:after="60" w:line="260"/>
        <w:jc w:val="both"/>
      </w:pPr>
      <w:r>
        <w:rPr>
          <w:rFonts w:ascii="Arial" w:cs="Arial" w:eastAsia="Arial" w:hAnsi="Arial"/>
        </w:rPr>
        <w:t xml:space="preserve">Hay canales para quejas y denuncias de que el trabajo no cumple las normas o las políticas.</w:t>
      </w:r>
    </w:p>
    <w:p>
      <w:pPr>
        <w:pStyle w:val="ListParagraph"/>
        <w:numPr>
          <w:ilvl w:val="0"/>
          <w:numId w:val="3"/>
        </w:numPr>
        <w:spacing w:after="140" w:line="260"/>
        <w:jc w:val="both"/>
      </w:pPr>
      <w:r>
        <w:rPr>
          <w:rFonts w:ascii="Arial" w:cs="Arial" w:eastAsia="Arial" w:hAnsi="Arial"/>
        </w:rPr>
        <w:t xml:space="preserve">Se inspecciona al menos un encargo cada año.</w:t>
      </w:r>
    </w:p>
    <w:p>
      <w:pPr>
        <w:pStyle w:val="Heading1"/>
        <w:keepNext/>
      </w:pPr>
      <w:r>
        <w:rPr>
          <w:rFonts w:ascii="Arial" w:cs="Arial" w:eastAsia="Arial" w:hAnsi="Arial"/>
        </w:rPr>
        <w:t xml:space="preserve">9. Documentación y entrada en vigencia</w:t>
      </w:r>
    </w:p>
    <w:p>
      <w:pPr>
        <w:spacing w:after="110" w:line="264"/>
        <w:jc w:val="both"/>
      </w:pPr>
      <w:r>
        <w:rPr>
          <w:rFonts w:ascii="Arial" w:cs="Arial" w:eastAsia="Arial" w:hAnsi="Arial"/>
        </w:rPr>
        <w:t xml:space="preserve">La documentación evidencia el funcionamiento del sistema y permite uniformidad en los procesos, consulta en casos repetitivos, evaluación y mejora, y un seguimiento más ágil. Puede ser física o digital (discos, memorias, almacenamiento en la nube), pero siempre respetando la confidencialidad. Se conserva según la política de la Firma y la ley, y nunca menos de cinco años. Se hacen copias de seguridad (una fuera de las oficinas o en la nube) y se digitalizan los documentos físicos.</w:t>
      </w:r>
    </w:p>
    <w:p>
      <w:pPr>
        <w:spacing w:after="110" w:line="264"/>
        <w:jc w:val="both"/>
      </w:pPr>
      <w:r>
        <w:rPr>
          <w:rFonts w:ascii="Arial" w:cs="Arial" w:eastAsia="Arial" w:hAnsi="Arial"/>
        </w:rPr>
        <w:t xml:space="preserve">Al concluir el diseño, el sistema se implementa tras una comunicación y capacitación previa del personal, mediante el memorando </w:t>
      </w:r>
      <w:r>
        <w:rPr>
          <w:rFonts w:ascii="Arial" w:cs="Arial" w:eastAsia="Arial" w:hAnsi="Arial"/>
          <w:b/>
          <w:bCs/>
        </w:rPr>
        <w:t xml:space="preserve">PT-CALIDAD-18</w:t>
      </w:r>
      <w:r>
        <w:rPr>
          <w:rFonts w:ascii="Arial" w:cs="Arial" w:eastAsia="Arial" w:hAnsi="Arial"/>
        </w:rPr>
        <w:t xml:space="preserve"> (Anexo XVIII). Ese documento se conserva como evidencia.</w:t>
      </w:r>
    </w:p>
    <w:p>
      <w:pPr>
        <w:pStyle w:val="Heading1"/>
        <w:keepNext/>
      </w:pPr>
      <w:r>
        <w:rPr>
          <w:rFonts w:ascii="Arial" w:cs="Arial" w:eastAsia="Arial" w:hAnsi="Arial"/>
        </w:rPr>
        <w:t xml:space="preserve">Índice de papeles de trabajo</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900"/>
        <w:gridCol w:w="3760"/>
        <w:gridCol w:w="1000"/>
        <w:gridCol w:w="2700"/>
      </w:tblGrid>
      <w:tr>
        <w:trPr>
          <w:cantSplit/>
          <w:tblHeader/>
        </w:trPr>
        <w:tc>
          <w:tcPr>
            <w:tcW w:type="dxa" w:w="19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Referencia</w:t>
            </w:r>
          </w:p>
        </w:tc>
        <w:tc>
          <w:tcPr>
            <w:tcW w:type="dxa" w:w="37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Papel de trabajo</w:t>
            </w:r>
          </w:p>
        </w:tc>
        <w:tc>
          <w:tcPr>
            <w:tcW w:type="dxa" w:w="10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Anexo</w:t>
            </w:r>
          </w:p>
        </w:tc>
        <w:tc>
          <w:tcPr>
            <w:tcW w:type="dxa" w:w="27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spacing w:after="40" w:line="250"/>
              <w:jc w:val="left"/>
            </w:pPr>
            <w:r>
              <w:rPr>
                <w:rFonts w:ascii="Arial" w:cs="Arial" w:eastAsia="Arial" w:hAnsi="Arial"/>
                <w:b/>
                <w:bCs/>
                <w:color w:val="FFFFFF"/>
                <w:sz w:val="22"/>
                <w:szCs w:val="22"/>
              </w:rPr>
              <w:t xml:space="preserve">Quién lo completa</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PT-CALIDAD-01</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Matriz de objetivos, riesgos y respuestas</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Responsable del sistema</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PT-CALIDAD-02</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Guía para identificar riesgos</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II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Responsable del sistema</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PT-CALIDAD-03</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Declaración de compromiso de calidad</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III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Socios (cada año)</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PT-CALIDAD-04</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Declaración de confidencialidad</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IV</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Todo el personal</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PT-CALIDAD-05</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Declaración de independencia</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V</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Todo el personal</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PT-CALIDAD-06</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Aceptación de clientes por primera vez</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VI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Equipo y socios</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PT-CALIDAD-07</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Continuidad de la relación con el cliente</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VII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Equipo y socios</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PT-CALIDAD-08</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Renuncia al encargo</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VIII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Socio director</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PT-CALIDAD-09</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Selección del equipo del encargo</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IX</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Socio del encargo</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PT-CALIDAD-10</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Esquema de consultas</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X</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Quien consulta</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PT-CALIDAD-11</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Contrato con un experto</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XI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Socio del encargo</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PT-CALIDAD-12</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Nombramiento del revisor de calidad</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XII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Socio director</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PT-CALIDAD-13</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Revisión de calidad del encargo</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XIII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Revisor</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PT-CALIDAD-14</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Nombramiento del inspector</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XIV</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Socio director</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PT-CALIDAD-15</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Cuestionario del inspector</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XV</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Inspector</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PT-CALIDAD-16</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Reporte de hallazgos del inspector</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XVI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spacing w:after="40" w:line="250"/>
              <w:jc w:val="left"/>
            </w:pPr>
            <w:r>
              <w:rPr>
                <w:rFonts w:ascii="Arial" w:cs="Arial" w:eastAsia="Arial" w:hAnsi="Arial"/>
              </w:rPr>
              <w:t xml:space="preserve">Inspector</w:t>
            </w:r>
          </w:p>
        </w:tc>
      </w:tr>
      <w:tr>
        <w:trPr>
          <w:cantSplit/>
        </w:trPr>
        <w:tc>
          <w:tcPr>
            <w:tcW w:type="dxa" w:w="1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b/>
                <w:bCs/>
              </w:rPr>
              <w:t xml:space="preserve">PT-CALIDAD-17</w:t>
            </w:r>
          </w:p>
        </w:tc>
        <w:tc>
          <w:tcPr>
            <w:tcW w:type="dxa" w:w="37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Formulario de quejas y denuncias</w:t>
            </w:r>
          </w:p>
        </w:tc>
        <w:tc>
          <w:tcPr>
            <w:tcW w:type="dxa" w:w="10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XVII</w:t>
            </w:r>
          </w:p>
        </w:tc>
        <w:tc>
          <w:tcPr>
            <w:tcW w:type="dxa" w:w="27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spacing w:after="40" w:line="250"/>
              <w:jc w:val="left"/>
            </w:pPr>
            <w:r>
              <w:rPr>
                <w:rFonts w:ascii="Arial" w:cs="Arial" w:eastAsia="Arial" w:hAnsi="Arial"/>
              </w:rPr>
              <w:t xml:space="preserve">Quien denuncia</w:t>
            </w:r>
          </w:p>
        </w:tc>
      </w:tr>
      <w:tr>
        <w:trPr>
          <w:cantSplit/>
        </w:trPr>
        <w:tc>
          <w:tcPr>
            <w:tcW w:type="dxa" w:w="19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rPr>
              <w:t xml:space="preserve">PT-CALIDAD-18</w:t>
            </w:r>
          </w:p>
        </w:tc>
        <w:tc>
          <w:tcPr>
            <w:tcW w:type="dxa" w:w="376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Memorando de entrada en vigencia</w:t>
            </w:r>
          </w:p>
        </w:tc>
        <w:tc>
          <w:tcPr>
            <w:tcW w:type="dxa" w:w="10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XVIII</w:t>
            </w:r>
          </w:p>
        </w:tc>
        <w:tc>
          <w:tcPr>
            <w:tcW w:type="dxa" w:w="2700"/>
            <w:tcBorders>
              <w:top w:val="single" w:color="BFC9D9" w:sz="4"/>
              <w:left w:val="single" w:color="BFC9D9" w:sz="4"/>
              <w:bottom w:val="single" w:color="BFC9D9" w:sz="4"/>
              <w:right w:val="single" w:color="BFC9D9" w:sz="4"/>
            </w:tcBorders>
            <w:shd w:fill="F6F8FC"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Socio director</w:t>
            </w:r>
          </w:p>
        </w:tc>
      </w:tr>
    </w:tbl>
    <w:p>
      <w:pPr>
        <w:spacing w:after="100"/>
      </w:pPr>
    </w:p>
    <w:p>
      <w:pPr>
        <w:pStyle w:val="Heading1"/>
        <w:keepNext/>
      </w:pPr>
      <w:r>
        <w:rPr>
          <w:rFonts w:ascii="Arial" w:cs="Arial" w:eastAsia="Arial" w:hAnsi="Arial"/>
        </w:rPr>
        <w:t xml:space="preserve">Aprobación</w:t>
      </w:r>
    </w:p>
    <w:p>
      <w:pPr>
        <w:keepNext/>
        <w:spacing w:after="110" w:line="264"/>
        <w:jc w:val="both"/>
      </w:pPr>
      <w:r>
        <w:rPr>
          <w:rFonts w:ascii="Arial" w:cs="Arial" w:eastAsia="Arial" w:hAnsi="Arial"/>
        </w:rPr>
        <w:t xml:space="preserve">Este manual fue aprobado y entra en vigencia en la fecha indicada en la portada.</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900"/>
        <w:gridCol w:w="2200"/>
        <w:gridCol w:w="2660"/>
        <w:gridCol w:w="1600"/>
      </w:tblGrid>
      <w:tr>
        <w:trPr>
          <w:tblHeader/>
        </w:trPr>
        <w:tc>
          <w:tcPr>
            <w:tcW w:type="dxa" w:w="29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Nombre</w:t>
            </w:r>
          </w:p>
        </w:tc>
        <w:tc>
          <w:tcPr>
            <w:tcW w:type="dxa" w:w="22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Cargo</w:t>
            </w:r>
          </w:p>
        </w:tc>
        <w:tc>
          <w:tcPr>
            <w:tcW w:type="dxa" w:w="266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Firma</w:t>
            </w:r>
          </w:p>
        </w:tc>
        <w:tc>
          <w:tcPr>
            <w:tcW w:type="dxa" w:w="1600"/>
            <w:tcBorders>
              <w:top w:val="single" w:color="BFC9D9" w:sz="4"/>
              <w:left w:val="single" w:color="BFC9D9" w:sz="4"/>
              <w:bottom w:val="single" w:color="BFC9D9" w:sz="4"/>
              <w:right w:val="single" w:color="BFC9D9" w:sz="4"/>
            </w:tcBorders>
            <w:shd w:fill="2872FA" w:color="auto" w:val="clear"/>
            <w:tcMar>
              <w:top w:type="dxa" w:w="70"/>
              <w:left w:type="dxa" w:w="110"/>
              <w:bottom w:type="dxa" w:w="70"/>
              <w:right w:type="dxa" w:w="110"/>
            </w:tcMar>
            <w:vAlign w:val="top"/>
          </w:tcPr>
          <w:p>
            <w:pPr>
              <w:keepNext w:val="false"/>
              <w:spacing w:after="40" w:line="250"/>
              <w:jc w:val="left"/>
            </w:pPr>
            <w:r>
              <w:rPr>
                <w:rFonts w:ascii="Arial" w:cs="Arial" w:eastAsia="Arial" w:hAnsi="Arial"/>
                <w:b/>
                <w:bCs/>
                <w:color w:val="FFFFFF"/>
                <w:sz w:val="22"/>
                <w:szCs w:val="22"/>
              </w:rPr>
              <w:t xml:space="preserve">Fecha</w:t>
            </w:r>
          </w:p>
        </w:tc>
      </w:tr>
      <w:tr>
        <w:trPr>
          <w:cantSplit/>
          <w:trHeight w:val="620" w:hRule="atLeast"/>
        </w:trPr>
        <w:tc>
          <w:tcPr>
            <w:tcW w:type="dxa" w:w="2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r>
        <w:trPr>
          <w:cantSplit/>
          <w:trHeight w:val="620" w:hRule="atLeast"/>
        </w:trPr>
        <w:tc>
          <w:tcPr>
            <w:tcW w:type="dxa" w:w="29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2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266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c>
          <w:tcPr>
            <w:tcW w:type="dxa" w:w="1600"/>
            <w:tcBorders>
              <w:top w:val="single" w:color="BFC9D9" w:sz="4"/>
              <w:left w:val="single" w:color="BFC9D9" w:sz="4"/>
              <w:bottom w:val="single" w:color="BFC9D9" w:sz="4"/>
              <w:right w:val="single" w:color="BFC9D9" w:sz="4"/>
            </w:tcBorders>
            <w:tcMar>
              <w:top w:type="dxa" w:w="70"/>
              <w:left w:type="dxa" w:w="110"/>
              <w:bottom w:type="dxa" w:w="70"/>
              <w:right w:type="dxa" w:w="110"/>
            </w:tcMar>
            <w:vAlign w:val="top"/>
          </w:tcPr>
          <w:p>
            <w:pPr>
              <w:keepNext w:val="false"/>
              <w:spacing w:after="40" w:line="250"/>
              <w:jc w:val="left"/>
            </w:pPr>
            <w:r>
              <w:rPr>
                <w:rFonts w:ascii="Arial" w:cs="Arial" w:eastAsia="Arial" w:hAnsi="Arial"/>
              </w:rPr>
              <w:t xml:space="preserve"> </w:t>
            </w:r>
          </w:p>
        </w:tc>
      </w:tr>
    </w:tbl>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PT-CALIDAD-00  ·  Manual de gestión de calidad</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Manual de gestión de calidad — PT-CALIDAD-00</dc:title>
  <dc:creator>Assuran</dc:creator>
  <dc:description>Modelo de manual de gestión de calidad (NIGC 1) para ejercientes individuales y firmas</dc:description>
  <cp:lastModifiedBy>Un-named</cp:lastModifiedBy>
  <cp:revision>1</cp:revision>
  <dcterms:created xsi:type="dcterms:W3CDTF">2026-11-02T23:59:46.257Z</dcterms:created>
  <dcterms:modified xsi:type="dcterms:W3CDTF">2026-11-02T23:59:46.259Z</dcterms:modified>
</cp:coreProperties>
</file>

<file path=docProps/custom.xml><?xml version="1.0" encoding="utf-8"?>
<Properties xmlns="http://schemas.openxmlformats.org/officeDocument/2006/custom-properties" xmlns:vt="http://schemas.openxmlformats.org/officeDocument/2006/docPropsVTypes"/>
</file>